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6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160"/>
      </w:tblGrid>
      <w:tr>
        <w:trPr>
          <w:trHeight w:val="330" w:hRule="exact"/>
        </w:trPr>
        <w:tc>
          <w:tcPr>
            <w:tcW w:w="1160" w:type="dxa"/>
            <w:tcBorders/>
            <w:shd w:color="auto" w:fill="auto" w:val="clear"/>
            <w:vAlign w:val="bottom"/>
          </w:tcPr>
          <w:p>
            <w:pPr>
              <w:pStyle w:val="Normal"/>
              <w:widowControl w:val="false"/>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r>
          </w:p>
        </w:tc>
      </w:tr>
    </w:tbl>
    <w:p>
      <w:pPr>
        <w:pStyle w:val="Normal"/>
        <w:rPr/>
      </w:pPr>
      <w:r>
        <w:rPr/>
        <w:t>Licence d’Etudes Européennes et Internationales</w:t>
      </w:r>
    </w:p>
    <w:p>
      <w:pPr>
        <w:pStyle w:val="Normal"/>
        <w:rPr/>
      </w:pPr>
      <w:r>
        <w:rPr/>
      </w:r>
    </w:p>
    <w:p>
      <w:pPr>
        <w:pStyle w:val="Normal"/>
        <w:rPr/>
      </w:pPr>
      <w:r>
        <w:rPr/>
        <w:t xml:space="preserve">EC de tronc commun (en français) pour les étudiants d’autres formations choisissant la LEEI comme Mineure externe. Année 23-24. 1° semestre. </w:t>
      </w:r>
    </w:p>
    <w:p>
      <w:pPr>
        <w:pStyle w:val="Normal"/>
        <w:rPr/>
      </w:pPr>
      <w:r>
        <w:rPr/>
        <w:t>Descriptifs à la suite.</w:t>
      </w:r>
    </w:p>
    <w:p>
      <w:pPr>
        <w:pStyle w:val="Normal"/>
        <w:rPr/>
      </w:pPr>
      <w:r>
        <w:rPr/>
      </w:r>
    </w:p>
    <w:p>
      <w:pPr>
        <w:pStyle w:val="Normal"/>
        <w:rPr/>
      </w:pPr>
      <w:r>
        <w:rPr/>
      </w:r>
    </w:p>
    <w:p>
      <w:pPr>
        <w:pStyle w:val="Normal"/>
        <w:rPr/>
      </w:pPr>
      <w:r>
        <w:rPr/>
        <w:t>L1</w:t>
      </w:r>
    </w:p>
    <w:tbl>
      <w:tblPr>
        <w:tblW w:w="1060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159"/>
        <w:gridCol w:w="4461"/>
        <w:gridCol w:w="660"/>
        <w:gridCol w:w="1020"/>
        <w:gridCol w:w="1259"/>
        <w:gridCol w:w="1501"/>
        <w:gridCol w:w="539"/>
      </w:tblGrid>
      <w:tr>
        <w:trPr>
          <w:trHeight w:val="330" w:hRule="atLeast"/>
        </w:trPr>
        <w:tc>
          <w:tcPr>
            <w:tcW w:w="1159" w:type="dxa"/>
            <w:tcBorders/>
            <w:shd w:color="auto" w:fill="auto" w:val="clear"/>
            <w:vAlign w:val="bottom"/>
          </w:tcPr>
          <w:p>
            <w:pPr>
              <w:pStyle w:val="Normal"/>
              <w:widowControl w:val="false"/>
              <w:rPr>
                <w:rFonts w:ascii="Times New Roman" w:hAnsi="Times New Roman" w:eastAsia="Times New Roman" w:cs="Times New Roman"/>
                <w:b/>
                <w:b/>
                <w:bCs/>
                <w:kern w:val="0"/>
                <w:lang w:eastAsia="fr-FR"/>
                <w14:ligatures w14:val="none"/>
              </w:rPr>
            </w:pPr>
            <w:r>
              <w:rPr>
                <w:rFonts w:eastAsia="Times New Roman" w:cs="Times New Roman" w:ascii="Times New Roman" w:hAnsi="Times New Roman"/>
                <w:b/>
                <w:bCs/>
                <w:kern w:val="0"/>
                <w:lang w:eastAsia="fr-FR"/>
                <w14:ligatures w14:val="none"/>
              </w:rPr>
              <w:t>36 hs</w:t>
            </w:r>
          </w:p>
        </w:tc>
        <w:tc>
          <w:tcPr>
            <w:tcW w:w="4461" w:type="dxa"/>
            <w:tcBorders/>
            <w:shd w:color="auto" w:fill="auto" w:val="clear"/>
            <w:vAlign w:val="bottom"/>
          </w:tcPr>
          <w:p>
            <w:pPr>
              <w:pStyle w:val="Normal"/>
              <w:widowControl w:val="false"/>
              <w:rPr>
                <w:rFonts w:ascii="Times New Roman" w:hAnsi="Times New Roman" w:eastAsia="Times New Roman" w:cs="Times New Roman"/>
                <w:kern w:val="0"/>
                <w:sz w:val="20"/>
                <w:szCs w:val="20"/>
                <w:lang w:eastAsia="fr-FR"/>
                <w14:ligatures w14:val="none"/>
              </w:rPr>
            </w:pPr>
            <w:r>
              <w:rPr>
                <w:rFonts w:eastAsia="Times New Roman" w:cs="Times New Roman" w:ascii="Times New Roman" w:hAnsi="Times New Roman"/>
                <w:kern w:val="0"/>
                <w:sz w:val="20"/>
                <w:szCs w:val="20"/>
                <w:lang w:eastAsia="fr-FR"/>
                <w14:ligatures w14:val="none"/>
              </w:rPr>
            </w:r>
          </w:p>
        </w:tc>
        <w:tc>
          <w:tcPr>
            <w:tcW w:w="660"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b/>
                <w:b/>
                <w:bCs/>
                <w:color w:val="FFFFFF"/>
                <w:kern w:val="0"/>
                <w:sz w:val="18"/>
                <w:szCs w:val="18"/>
                <w:lang w:eastAsia="fr-FR"/>
                <w14:ligatures w14:val="none"/>
              </w:rPr>
            </w:pPr>
            <w:r>
              <w:rPr>
                <w:rFonts w:eastAsia="Times New Roman" w:cs="Calibri"/>
                <w:b/>
                <w:bCs/>
                <w:color w:val="FFFFFF"/>
                <w:kern w:val="0"/>
                <w:sz w:val="18"/>
                <w:szCs w:val="18"/>
                <w:lang w:eastAsia="fr-FR"/>
                <w14:ligatures w14:val="none"/>
              </w:rPr>
              <w:t>heures</w:t>
            </w:r>
          </w:p>
        </w:tc>
        <w:tc>
          <w:tcPr>
            <w:tcW w:w="1020"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b/>
                <w:b/>
                <w:bCs/>
                <w:color w:val="FFFFFF"/>
                <w:kern w:val="0"/>
                <w:sz w:val="18"/>
                <w:szCs w:val="18"/>
                <w:lang w:eastAsia="fr-FR"/>
                <w14:ligatures w14:val="none"/>
              </w:rPr>
            </w:pPr>
            <w:r>
              <w:rPr>
                <w:rFonts w:eastAsia="Times New Roman" w:cs="Calibri"/>
                <w:b/>
                <w:bCs/>
                <w:color w:val="FFFFFF"/>
                <w:kern w:val="0"/>
                <w:sz w:val="18"/>
                <w:szCs w:val="18"/>
                <w:lang w:eastAsia="fr-FR"/>
                <w14:ligatures w14:val="none"/>
              </w:rPr>
              <w:t>Jour</w:t>
            </w:r>
          </w:p>
        </w:tc>
        <w:tc>
          <w:tcPr>
            <w:tcW w:w="1259"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b/>
                <w:b/>
                <w:bCs/>
                <w:color w:val="FFFFFF"/>
                <w:kern w:val="0"/>
                <w:sz w:val="18"/>
                <w:szCs w:val="18"/>
                <w:lang w:eastAsia="fr-FR"/>
                <w14:ligatures w14:val="none"/>
              </w:rPr>
            </w:pPr>
            <w:r>
              <w:rPr>
                <w:rFonts w:eastAsia="Times New Roman" w:cs="Calibri"/>
                <w:b/>
                <w:bCs/>
                <w:color w:val="FFFFFF"/>
                <w:kern w:val="0"/>
                <w:sz w:val="18"/>
                <w:szCs w:val="18"/>
                <w:lang w:eastAsia="fr-FR"/>
                <w14:ligatures w14:val="none"/>
              </w:rPr>
              <w:t>Horaire</w:t>
            </w:r>
          </w:p>
        </w:tc>
        <w:tc>
          <w:tcPr>
            <w:tcW w:w="1501"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b/>
                <w:b/>
                <w:bCs/>
                <w:color w:val="FFFFFF"/>
                <w:kern w:val="0"/>
                <w:sz w:val="18"/>
                <w:szCs w:val="18"/>
                <w:lang w:eastAsia="fr-FR"/>
                <w14:ligatures w14:val="none"/>
              </w:rPr>
            </w:pPr>
            <w:r>
              <w:rPr>
                <w:rFonts w:eastAsia="Times New Roman" w:cs="Calibri"/>
                <w:b/>
                <w:bCs/>
                <w:color w:val="FFFFFF"/>
                <w:kern w:val="0"/>
                <w:sz w:val="18"/>
                <w:szCs w:val="18"/>
                <w:lang w:eastAsia="fr-FR"/>
                <w14:ligatures w14:val="none"/>
              </w:rPr>
              <w:t>Enseignant</w:t>
            </w:r>
          </w:p>
        </w:tc>
        <w:tc>
          <w:tcPr>
            <w:tcW w:w="539"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b/>
                <w:b/>
                <w:bCs/>
                <w:color w:val="FFFFFF"/>
                <w:kern w:val="0"/>
                <w:sz w:val="18"/>
                <w:szCs w:val="18"/>
                <w:lang w:eastAsia="fr-FR"/>
                <w14:ligatures w14:val="none"/>
              </w:rPr>
            </w:pPr>
            <w:r>
              <w:rPr>
                <w:rFonts w:eastAsia="Times New Roman" w:cs="Calibri"/>
                <w:b/>
                <w:bCs/>
                <w:color w:val="FFFFFF"/>
                <w:kern w:val="0"/>
                <w:sz w:val="18"/>
                <w:szCs w:val="18"/>
                <w:lang w:eastAsia="fr-FR"/>
                <w14:ligatures w14:val="none"/>
              </w:rPr>
              <w:t>Salle</w:t>
            </w:r>
          </w:p>
        </w:tc>
      </w:tr>
      <w:tr>
        <w:trPr>
          <w:trHeight w:val="735" w:hRule="atLeast"/>
        </w:trPr>
        <w:tc>
          <w:tcPr>
            <w:tcW w:w="1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DL51EM01</w:t>
            </w:r>
          </w:p>
        </w:tc>
        <w:tc>
          <w:tcPr>
            <w:tcW w:w="446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 xml:space="preserve"> </w:t>
            </w:r>
            <w:r>
              <w:rPr>
                <w:rFonts w:eastAsia="Times New Roman" w:cs="Calibri"/>
                <w:color w:val="000000"/>
                <w:kern w:val="0"/>
                <w:sz w:val="18"/>
                <w:szCs w:val="18"/>
                <w:lang w:eastAsia="fr-FR"/>
                <w14:ligatures w14:val="none"/>
              </w:rPr>
              <w:t xml:space="preserve">Gr 1 - EC Histoire et civil.  de l’Europe : </w:t>
              <w:br/>
              <w:t>repères fondamentaux XXe siècle</w:t>
            </w:r>
            <w:r>
              <w:rPr>
                <w:rFonts w:eastAsia="Times New Roman" w:cs="Calibri"/>
                <w:color w:val="000000"/>
                <w:kern w:val="0"/>
                <w:sz w:val="28"/>
                <w:szCs w:val="28"/>
                <w:lang w:eastAsia="fr-FR"/>
                <w14:ligatures w14:val="none"/>
              </w:rPr>
              <w:t xml:space="preserve">   </w:t>
            </w:r>
            <w:r>
              <w:rPr>
                <w:rFonts w:eastAsia="Times New Roman" w:cs="Calibri"/>
                <w:b/>
                <w:bCs/>
                <w:color w:val="000000"/>
                <w:kern w:val="0"/>
                <w:sz w:val="28"/>
                <w:szCs w:val="28"/>
                <w:lang w:eastAsia="fr-FR"/>
                <w14:ligatures w14:val="none"/>
              </w:rPr>
              <w:t>ou</w:t>
            </w:r>
          </w:p>
        </w:tc>
        <w:tc>
          <w:tcPr>
            <w:tcW w:w="66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18</w:t>
            </w:r>
          </w:p>
        </w:tc>
        <w:tc>
          <w:tcPr>
            <w:tcW w:w="102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Mardi</w:t>
            </w:r>
          </w:p>
        </w:tc>
        <w:tc>
          <w:tcPr>
            <w:tcW w:w="1259"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16h30-18h00</w:t>
            </w:r>
          </w:p>
        </w:tc>
        <w:tc>
          <w:tcPr>
            <w:tcW w:w="1501"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Marie A Maillet</w:t>
            </w:r>
          </w:p>
        </w:tc>
        <w:tc>
          <w:tcPr>
            <w:tcW w:w="539"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B313</w:t>
            </w:r>
          </w:p>
        </w:tc>
      </w:tr>
      <w:tr>
        <w:trPr>
          <w:trHeight w:val="510" w:hRule="atLeast"/>
        </w:trPr>
        <w:tc>
          <w:tcPr>
            <w:tcW w:w="11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DL51EM01</w:t>
            </w:r>
          </w:p>
        </w:tc>
        <w:tc>
          <w:tcPr>
            <w:tcW w:w="4461" w:type="dxa"/>
            <w:tcBorders>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 xml:space="preserve"> </w:t>
            </w:r>
            <w:r>
              <w:rPr>
                <w:rFonts w:eastAsia="Times New Roman" w:cs="Calibri"/>
                <w:color w:val="000000"/>
                <w:kern w:val="0"/>
                <w:sz w:val="18"/>
                <w:szCs w:val="18"/>
                <w:lang w:eastAsia="fr-FR"/>
                <w14:ligatures w14:val="none"/>
              </w:rPr>
              <w:t xml:space="preserve">Gr 2 - EC Histoire et civil. de l’Europe : </w:t>
              <w:br/>
              <w:t>repères fondamentaux XXe siècle</w:t>
            </w:r>
          </w:p>
        </w:tc>
        <w:tc>
          <w:tcPr>
            <w:tcW w:w="66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18</w:t>
            </w:r>
          </w:p>
        </w:tc>
        <w:tc>
          <w:tcPr>
            <w:tcW w:w="102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Mercredi</w:t>
            </w:r>
          </w:p>
        </w:tc>
        <w:tc>
          <w:tcPr>
            <w:tcW w:w="1259"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9h00-10h30</w:t>
            </w:r>
          </w:p>
        </w:tc>
        <w:tc>
          <w:tcPr>
            <w:tcW w:w="1501"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 Fournel</w:t>
            </w:r>
          </w:p>
        </w:tc>
        <w:tc>
          <w:tcPr>
            <w:tcW w:w="539"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C005</w:t>
            </w:r>
          </w:p>
        </w:tc>
      </w:tr>
      <w:tr>
        <w:trPr>
          <w:trHeight w:val="705" w:hRule="atLeast"/>
        </w:trPr>
        <w:tc>
          <w:tcPr>
            <w:tcW w:w="1159"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DL51EM02</w:t>
            </w:r>
          </w:p>
        </w:tc>
        <w:tc>
          <w:tcPr>
            <w:tcW w:w="4461" w:type="dxa"/>
            <w:tcBorders>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 xml:space="preserve">Gr 1 - EC Littératures européennes comparées: repères fondamentaux    </w:t>
            </w:r>
            <w:r>
              <w:rPr>
                <w:rFonts w:eastAsia="Times New Roman" w:cs="Calibri"/>
                <w:b/>
                <w:bCs/>
                <w:kern w:val="0"/>
                <w:sz w:val="36"/>
                <w:szCs w:val="36"/>
                <w:lang w:eastAsia="fr-FR"/>
                <w14:ligatures w14:val="none"/>
              </w:rPr>
              <w:t>ou</w:t>
            </w:r>
          </w:p>
        </w:tc>
        <w:tc>
          <w:tcPr>
            <w:tcW w:w="660"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18</w:t>
            </w:r>
          </w:p>
        </w:tc>
        <w:tc>
          <w:tcPr>
            <w:tcW w:w="1020"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Mardi</w:t>
            </w:r>
          </w:p>
        </w:tc>
        <w:tc>
          <w:tcPr>
            <w:tcW w:w="1259"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18h00-19h30</w:t>
            </w:r>
          </w:p>
        </w:tc>
        <w:tc>
          <w:tcPr>
            <w:tcW w:w="1501"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Martin Arias</w:t>
            </w:r>
          </w:p>
        </w:tc>
        <w:tc>
          <w:tcPr>
            <w:tcW w:w="539"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B313</w:t>
            </w:r>
          </w:p>
        </w:tc>
      </w:tr>
      <w:tr>
        <w:trPr>
          <w:trHeight w:val="520" w:hRule="atLeast"/>
        </w:trPr>
        <w:tc>
          <w:tcPr>
            <w:tcW w:w="1159"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DL51EM02</w:t>
            </w:r>
          </w:p>
        </w:tc>
        <w:tc>
          <w:tcPr>
            <w:tcW w:w="4461" w:type="dxa"/>
            <w:tcBorders>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 xml:space="preserve">Gr 2 - EC Littératures européennes comparées: repères fondamentaux    </w:t>
            </w:r>
          </w:p>
        </w:tc>
        <w:tc>
          <w:tcPr>
            <w:tcW w:w="660"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18</w:t>
            </w:r>
          </w:p>
        </w:tc>
        <w:tc>
          <w:tcPr>
            <w:tcW w:w="1020"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Jeudi</w:t>
            </w:r>
          </w:p>
        </w:tc>
        <w:tc>
          <w:tcPr>
            <w:tcW w:w="1259"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18h00-19h30</w:t>
            </w:r>
          </w:p>
        </w:tc>
        <w:tc>
          <w:tcPr>
            <w:tcW w:w="1501"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Martin Arias</w:t>
            </w:r>
          </w:p>
        </w:tc>
        <w:tc>
          <w:tcPr>
            <w:tcW w:w="539" w:type="dxa"/>
            <w:tcBorders>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r>
          </w:p>
        </w:tc>
      </w:tr>
    </w:tbl>
    <w:p>
      <w:pPr>
        <w:pStyle w:val="Normal"/>
        <w:rPr/>
      </w:pPr>
      <w:r>
        <w:rPr/>
      </w:r>
    </w:p>
    <w:p>
      <w:pPr>
        <w:pStyle w:val="Normal"/>
        <w:rPr/>
      </w:pPr>
      <w:r>
        <w:rPr/>
      </w:r>
    </w:p>
    <w:p>
      <w:pPr>
        <w:pStyle w:val="Normal"/>
        <w:rPr/>
      </w:pPr>
      <w:r>
        <w:rPr/>
        <w:t xml:space="preserve">L2 </w:t>
      </w:r>
    </w:p>
    <w:tbl>
      <w:tblPr>
        <w:tblW w:w="11496"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45"/>
        <w:gridCol w:w="155"/>
        <w:gridCol w:w="146"/>
        <w:gridCol w:w="978"/>
        <w:gridCol w:w="4910"/>
        <w:gridCol w:w="300"/>
        <w:gridCol w:w="341"/>
        <w:gridCol w:w="300"/>
        <w:gridCol w:w="681"/>
        <w:gridCol w:w="300"/>
        <w:gridCol w:w="999"/>
        <w:gridCol w:w="300"/>
        <w:gridCol w:w="981"/>
        <w:gridCol w:w="300"/>
        <w:gridCol w:w="359"/>
        <w:gridCol w:w="299"/>
      </w:tblGrid>
      <w:tr>
        <w:trPr>
          <w:trHeight w:val="300" w:hRule="atLeast"/>
        </w:trPr>
        <w:tc>
          <w:tcPr>
            <w:tcW w:w="300" w:type="dxa"/>
            <w:gridSpan w:val="2"/>
            <w:tcBorders/>
            <w:shd w:color="auto" w:fill="auto" w:val="clear"/>
            <w:vAlign w:val="center"/>
          </w:tcPr>
          <w:p>
            <w:pPr>
              <w:pStyle w:val="Normal"/>
              <w:widowControl w:val="false"/>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r>
          </w:p>
        </w:tc>
        <w:tc>
          <w:tcPr>
            <w:tcW w:w="146" w:type="dxa"/>
            <w:tcBorders/>
            <w:shd w:color="auto" w:fill="auto" w:val="clear"/>
            <w:vAlign w:val="bottom"/>
          </w:tcPr>
          <w:p>
            <w:pPr>
              <w:pStyle w:val="Normal"/>
              <w:widowControl w:val="false"/>
              <w:jc w:val="center"/>
              <w:rPr>
                <w:rFonts w:ascii="Times New Roman" w:hAnsi="Times New Roman" w:eastAsia="Times New Roman" w:cs="Times New Roman"/>
                <w:kern w:val="0"/>
                <w:sz w:val="20"/>
                <w:szCs w:val="20"/>
                <w:lang w:eastAsia="fr-FR"/>
                <w14:ligatures w14:val="none"/>
              </w:rPr>
            </w:pPr>
            <w:r>
              <w:rPr>
                <w:rFonts w:eastAsia="Times New Roman" w:cs="Times New Roman" w:ascii="Times New Roman" w:hAnsi="Times New Roman"/>
                <w:kern w:val="0"/>
                <w:sz w:val="20"/>
                <w:szCs w:val="20"/>
                <w:lang w:eastAsia="fr-FR"/>
                <w14:ligatures w14:val="none"/>
              </w:rPr>
            </w:r>
          </w:p>
        </w:tc>
        <w:tc>
          <w:tcPr>
            <w:tcW w:w="6188" w:type="dxa"/>
            <w:gridSpan w:val="3"/>
            <w:tcBorders/>
            <w:shd w:color="auto" w:fill="auto" w:val="clear"/>
            <w:vAlign w:val="bottom"/>
          </w:tcPr>
          <w:p>
            <w:pPr>
              <w:pStyle w:val="Normal"/>
              <w:widowControl w:val="false"/>
              <w:rPr>
                <w:rFonts w:ascii="Calibri" w:hAnsi="Calibri" w:eastAsia="Times New Roman" w:cs="Calibri"/>
                <w:b/>
                <w:b/>
                <w:bCs/>
                <w:color w:val="000000"/>
                <w:kern w:val="0"/>
                <w:lang w:eastAsia="fr-FR"/>
                <w14:ligatures w14:val="none"/>
              </w:rPr>
            </w:pPr>
            <w:r>
              <w:rPr>
                <w:rFonts w:eastAsia="Times New Roman" w:cs="Calibri"/>
                <w:b/>
                <w:bCs/>
                <w:color w:val="000000"/>
                <w:kern w:val="0"/>
                <w:lang w:eastAsia="fr-FR"/>
                <w14:ligatures w14:val="none"/>
              </w:rPr>
            </w:r>
          </w:p>
        </w:tc>
        <w:tc>
          <w:tcPr>
            <w:tcW w:w="641" w:type="dxa"/>
            <w:gridSpan w:val="2"/>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heures</w:t>
            </w:r>
          </w:p>
        </w:tc>
        <w:tc>
          <w:tcPr>
            <w:tcW w:w="981" w:type="dxa"/>
            <w:gridSpan w:val="2"/>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Jour</w:t>
            </w:r>
          </w:p>
        </w:tc>
        <w:tc>
          <w:tcPr>
            <w:tcW w:w="1299" w:type="dxa"/>
            <w:gridSpan w:val="2"/>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Horaire</w:t>
            </w:r>
          </w:p>
        </w:tc>
        <w:tc>
          <w:tcPr>
            <w:tcW w:w="1281" w:type="dxa"/>
            <w:gridSpan w:val="2"/>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Enseignant</w:t>
            </w:r>
          </w:p>
        </w:tc>
        <w:tc>
          <w:tcPr>
            <w:tcW w:w="658" w:type="dxa"/>
            <w:gridSpan w:val="2"/>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Salle</w:t>
            </w:r>
          </w:p>
        </w:tc>
      </w:tr>
      <w:tr>
        <w:trPr>
          <w:trHeight w:val="345" w:hRule="atLeast"/>
        </w:trPr>
        <w:tc>
          <w:tcPr>
            <w:tcW w:w="145" w:type="dxa"/>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r>
          </w:p>
        </w:tc>
        <w:tc>
          <w:tcPr>
            <w:tcW w:w="1279"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DL53EM01</w:t>
            </w:r>
          </w:p>
        </w:tc>
        <w:tc>
          <w:tcPr>
            <w:tcW w:w="491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 xml:space="preserve">Histoire des colonisations européennes  </w:t>
            </w:r>
          </w:p>
        </w:tc>
        <w:tc>
          <w:tcPr>
            <w:tcW w:w="64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36</w:t>
            </w:r>
          </w:p>
        </w:tc>
        <w:tc>
          <w:tcPr>
            <w:tcW w:w="98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Jeudi</w:t>
            </w:r>
          </w:p>
        </w:tc>
        <w:tc>
          <w:tcPr>
            <w:tcW w:w="1299"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12h00-15h00</w:t>
            </w:r>
          </w:p>
        </w:tc>
        <w:tc>
          <w:tcPr>
            <w:tcW w:w="128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 xml:space="preserve">Olivier Baisez </w:t>
            </w:r>
          </w:p>
        </w:tc>
        <w:tc>
          <w:tcPr>
            <w:tcW w:w="659"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B132</w:t>
            </w:r>
          </w:p>
        </w:tc>
        <w:tc>
          <w:tcPr>
            <w:tcW w:w="299" w:type="dxa"/>
            <w:tcBorders/>
          </w:tcPr>
          <w:p>
            <w:pPr>
              <w:pStyle w:val="Normal"/>
              <w:widowControl w:val="false"/>
              <w:rPr/>
            </w:pPr>
            <w:r>
              <w:rPr/>
            </w:r>
          </w:p>
        </w:tc>
      </w:tr>
      <w:tr>
        <w:trPr>
          <w:trHeight w:val="345" w:hRule="atLeast"/>
        </w:trPr>
        <w:tc>
          <w:tcPr>
            <w:tcW w:w="145" w:type="dxa"/>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r>
          </w:p>
        </w:tc>
        <w:tc>
          <w:tcPr>
            <w:tcW w:w="1279" w:type="dxa"/>
            <w:gridSpan w:val="3"/>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DL53EM03</w:t>
            </w:r>
          </w:p>
        </w:tc>
        <w:tc>
          <w:tcPr>
            <w:tcW w:w="4910" w:type="dxa"/>
            <w:tcBorders>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L’altérité dans les arts européens 1  GRANDS AUTEURS</w:t>
            </w:r>
          </w:p>
        </w:tc>
        <w:tc>
          <w:tcPr>
            <w:tcW w:w="64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18</w:t>
            </w:r>
          </w:p>
        </w:tc>
        <w:tc>
          <w:tcPr>
            <w:tcW w:w="98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Vendredi</w:t>
            </w:r>
          </w:p>
        </w:tc>
        <w:tc>
          <w:tcPr>
            <w:tcW w:w="1299"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16h30-18h00</w:t>
            </w:r>
          </w:p>
        </w:tc>
        <w:tc>
          <w:tcPr>
            <w:tcW w:w="128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I. Desmet</w:t>
            </w:r>
          </w:p>
        </w:tc>
        <w:tc>
          <w:tcPr>
            <w:tcW w:w="659"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B305</w:t>
            </w:r>
          </w:p>
        </w:tc>
        <w:tc>
          <w:tcPr>
            <w:tcW w:w="299" w:type="dxa"/>
            <w:tcBorders/>
          </w:tcPr>
          <w:p>
            <w:pPr>
              <w:pStyle w:val="Normal"/>
              <w:widowControl w:val="false"/>
              <w:rPr/>
            </w:pPr>
            <w:r>
              <w:rPr/>
            </w:r>
          </w:p>
        </w:tc>
      </w:tr>
      <w:tr>
        <w:trPr>
          <w:trHeight w:val="390" w:hRule="atLeast"/>
        </w:trPr>
        <w:tc>
          <w:tcPr>
            <w:tcW w:w="145" w:type="dxa"/>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r>
          </w:p>
        </w:tc>
        <w:tc>
          <w:tcPr>
            <w:tcW w:w="1279" w:type="dxa"/>
            <w:gridSpan w:val="3"/>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DL53EM04</w:t>
            </w:r>
          </w:p>
        </w:tc>
        <w:tc>
          <w:tcPr>
            <w:tcW w:w="4910" w:type="dxa"/>
            <w:tcBorders>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 xml:space="preserve">L’altérité dans les arts européens 2  </w:t>
            </w:r>
          </w:p>
        </w:tc>
        <w:tc>
          <w:tcPr>
            <w:tcW w:w="64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18</w:t>
            </w:r>
          </w:p>
        </w:tc>
        <w:tc>
          <w:tcPr>
            <w:tcW w:w="98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Mercredi</w:t>
            </w:r>
          </w:p>
        </w:tc>
        <w:tc>
          <w:tcPr>
            <w:tcW w:w="1299"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13h30-15h00</w:t>
            </w:r>
          </w:p>
        </w:tc>
        <w:tc>
          <w:tcPr>
            <w:tcW w:w="1281"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Michèle  Arrué</w:t>
            </w:r>
          </w:p>
        </w:tc>
        <w:tc>
          <w:tcPr>
            <w:tcW w:w="659" w:type="dxa"/>
            <w:gridSpan w:val="2"/>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B307</w:t>
            </w:r>
          </w:p>
        </w:tc>
        <w:tc>
          <w:tcPr>
            <w:tcW w:w="299" w:type="dxa"/>
            <w:tcBorders/>
          </w:tcPr>
          <w:p>
            <w:pPr>
              <w:pStyle w:val="Normal"/>
              <w:widowControl w:val="false"/>
              <w:rPr/>
            </w:pPr>
            <w:r>
              <w:rPr/>
            </w:r>
          </w:p>
        </w:tc>
      </w:tr>
    </w:tbl>
    <w:p>
      <w:pPr>
        <w:pStyle w:val="Normal"/>
        <w:rPr/>
      </w:pPr>
      <w:r>
        <w:rPr/>
      </w:r>
    </w:p>
    <w:p>
      <w:pPr>
        <w:pStyle w:val="Normal"/>
        <w:rPr/>
      </w:pPr>
      <w:r>
        <w:rPr/>
        <w:t xml:space="preserve">L3 </w:t>
      </w:r>
    </w:p>
    <w:tbl>
      <w:tblPr>
        <w:tblW w:w="1112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199"/>
        <w:gridCol w:w="4561"/>
        <w:gridCol w:w="759"/>
        <w:gridCol w:w="961"/>
        <w:gridCol w:w="1320"/>
        <w:gridCol w:w="1420"/>
        <w:gridCol w:w="899"/>
      </w:tblGrid>
      <w:tr>
        <w:trPr>
          <w:trHeight w:val="240" w:hRule="atLeast"/>
        </w:trPr>
        <w:tc>
          <w:tcPr>
            <w:tcW w:w="1199" w:type="dxa"/>
            <w:tcBorders/>
            <w:shd w:color="auto" w:fill="auto" w:val="clear"/>
            <w:vAlign w:val="bottom"/>
          </w:tcPr>
          <w:p>
            <w:pPr>
              <w:pStyle w:val="Normal"/>
              <w:widowControl w:val="false"/>
              <w:rPr/>
            </w:pPr>
            <w:r>
              <w:rPr/>
              <w:t>72hs</w:t>
            </w:r>
          </w:p>
        </w:tc>
        <w:tc>
          <w:tcPr>
            <w:tcW w:w="4561" w:type="dxa"/>
            <w:tcBorders/>
            <w:shd w:color="auto" w:fill="auto" w:val="clear"/>
            <w:vAlign w:val="bottom"/>
          </w:tcPr>
          <w:p>
            <w:pPr>
              <w:pStyle w:val="Normal"/>
              <w:widowControl w:val="false"/>
              <w:rPr>
                <w:rFonts w:ascii="Times New Roman" w:hAnsi="Times New Roman" w:eastAsia="Times New Roman" w:cs="Times New Roman"/>
                <w:kern w:val="0"/>
                <w:sz w:val="20"/>
                <w:szCs w:val="20"/>
                <w:lang w:eastAsia="fr-FR"/>
                <w14:ligatures w14:val="none"/>
              </w:rPr>
            </w:pPr>
            <w:r>
              <w:rPr>
                <w:rFonts w:eastAsia="Times New Roman" w:cs="Times New Roman" w:ascii="Times New Roman" w:hAnsi="Times New Roman"/>
                <w:kern w:val="0"/>
                <w:sz w:val="20"/>
                <w:szCs w:val="20"/>
                <w:lang w:eastAsia="fr-FR"/>
                <w14:ligatures w14:val="none"/>
              </w:rPr>
            </w:r>
          </w:p>
        </w:tc>
        <w:tc>
          <w:tcPr>
            <w:tcW w:w="759"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heures</w:t>
            </w:r>
          </w:p>
        </w:tc>
        <w:tc>
          <w:tcPr>
            <w:tcW w:w="961"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Jour</w:t>
            </w:r>
          </w:p>
        </w:tc>
        <w:tc>
          <w:tcPr>
            <w:tcW w:w="1320"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Horaire</w:t>
            </w:r>
          </w:p>
        </w:tc>
        <w:tc>
          <w:tcPr>
            <w:tcW w:w="1420"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Enseignant</w:t>
            </w:r>
          </w:p>
        </w:tc>
        <w:tc>
          <w:tcPr>
            <w:tcW w:w="899" w:type="dxa"/>
            <w:tcBorders>
              <w:top w:val="single" w:sz="4" w:space="0" w:color="000000"/>
              <w:bottom w:val="single" w:sz="4" w:space="0" w:color="000000"/>
              <w:right w:val="single" w:sz="4" w:space="0" w:color="000000"/>
            </w:tcBorders>
            <w:shd w:color="000000" w:fill="808080" w:val="clear"/>
            <w:vAlign w:val="center"/>
          </w:tcPr>
          <w:p>
            <w:pPr>
              <w:pStyle w:val="Normal"/>
              <w:widowControl w:val="false"/>
              <w:jc w:val="center"/>
              <w:rPr>
                <w:rFonts w:ascii="Calibri" w:hAnsi="Calibri" w:eastAsia="Times New Roman" w:cs="Calibri"/>
                <w:color w:val="FFFFFF"/>
                <w:kern w:val="0"/>
                <w:sz w:val="18"/>
                <w:szCs w:val="18"/>
                <w:lang w:eastAsia="fr-FR"/>
                <w14:ligatures w14:val="none"/>
              </w:rPr>
            </w:pPr>
            <w:r>
              <w:rPr>
                <w:rFonts w:eastAsia="Times New Roman" w:cs="Calibri"/>
                <w:color w:val="FFFFFF"/>
                <w:kern w:val="0"/>
                <w:sz w:val="18"/>
                <w:szCs w:val="18"/>
                <w:lang w:eastAsia="fr-FR"/>
                <w14:ligatures w14:val="none"/>
              </w:rPr>
              <w:t>Salle</w:t>
            </w:r>
          </w:p>
        </w:tc>
      </w:tr>
      <w:tr>
        <w:trPr>
          <w:trHeight w:val="315" w:hRule="atLeast"/>
        </w:trPr>
        <w:tc>
          <w:tcPr>
            <w:tcW w:w="11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DL55EM01</w:t>
            </w:r>
          </w:p>
        </w:tc>
        <w:tc>
          <w:tcPr>
            <w:tcW w:w="4561"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EC L’Europe post-coloniale : imaginaires et défis</w:t>
            </w:r>
          </w:p>
        </w:tc>
        <w:tc>
          <w:tcPr>
            <w:tcW w:w="75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36</w:t>
            </w:r>
          </w:p>
        </w:tc>
        <w:tc>
          <w:tcPr>
            <w:tcW w:w="96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Mercredi</w:t>
            </w:r>
          </w:p>
        </w:tc>
        <w:tc>
          <w:tcPr>
            <w:tcW w:w="13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kern w:val="0"/>
                <w:sz w:val="18"/>
                <w:szCs w:val="18"/>
                <w:lang w:eastAsia="fr-FR"/>
                <w14:ligatures w14:val="none"/>
              </w:rPr>
            </w:pPr>
            <w:r>
              <w:rPr>
                <w:rFonts w:eastAsia="Times New Roman" w:cs="Calibri"/>
                <w:kern w:val="0"/>
                <w:sz w:val="18"/>
                <w:szCs w:val="18"/>
                <w:lang w:eastAsia="fr-FR"/>
                <w14:ligatures w14:val="none"/>
              </w:rPr>
              <w:t>9h00-12h00</w:t>
            </w:r>
          </w:p>
        </w:tc>
        <w:tc>
          <w:tcPr>
            <w:tcW w:w="14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B.Chamouleau</w:t>
            </w:r>
          </w:p>
        </w:tc>
        <w:tc>
          <w:tcPr>
            <w:tcW w:w="8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B305</w:t>
            </w:r>
          </w:p>
        </w:tc>
      </w:tr>
      <w:tr>
        <w:trPr>
          <w:trHeight w:val="240" w:hRule="atLeast"/>
        </w:trPr>
        <w:tc>
          <w:tcPr>
            <w:tcW w:w="1199"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DL15EM03</w:t>
            </w:r>
          </w:p>
        </w:tc>
        <w:tc>
          <w:tcPr>
            <w:tcW w:w="4561" w:type="dxa"/>
            <w:tcBorders>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EC3 Introduction Problématique interculturelle</w:t>
            </w:r>
          </w:p>
        </w:tc>
        <w:tc>
          <w:tcPr>
            <w:tcW w:w="759"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36</w:t>
            </w:r>
          </w:p>
        </w:tc>
        <w:tc>
          <w:tcPr>
            <w:tcW w:w="961"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Lundi</w:t>
            </w:r>
          </w:p>
        </w:tc>
        <w:tc>
          <w:tcPr>
            <w:tcW w:w="132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12h00-15h00</w:t>
            </w:r>
          </w:p>
        </w:tc>
        <w:tc>
          <w:tcPr>
            <w:tcW w:w="142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A. Chalard-F.</w:t>
            </w:r>
          </w:p>
        </w:tc>
        <w:tc>
          <w:tcPr>
            <w:tcW w:w="899"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eastAsia="Times New Roman" w:cs="Calibri"/>
                <w:color w:val="000000"/>
                <w:kern w:val="0"/>
                <w:sz w:val="18"/>
                <w:szCs w:val="18"/>
                <w:lang w:eastAsia="fr-FR"/>
                <w14:ligatures w14:val="none"/>
              </w:rPr>
            </w:pPr>
            <w:r>
              <w:rPr>
                <w:rFonts w:eastAsia="Times New Roman" w:cs="Calibri"/>
                <w:color w:val="000000"/>
                <w:kern w:val="0"/>
                <w:sz w:val="18"/>
                <w:szCs w:val="18"/>
                <w:lang w:eastAsia="fr-FR"/>
                <w14:ligatures w14:val="none"/>
              </w:rPr>
              <w:t>C005</w:t>
            </w:r>
          </w:p>
        </w:tc>
      </w:tr>
    </w:tbl>
    <w:p>
      <w:pPr>
        <w:pStyle w:val="Default"/>
        <w:jc w:val="both"/>
        <w:rPr>
          <w:rFonts w:ascii="Arial" w:hAnsi="Arial" w:cs="Arial"/>
          <w:b/>
          <w:b/>
          <w:color w:val="4472C4" w:themeColor="accent1"/>
          <w:sz w:val="28"/>
          <w:szCs w:val="28"/>
        </w:rPr>
      </w:pPr>
      <w:r>
        <w:rPr>
          <w:rFonts w:cs="Arial" w:ascii="Arial" w:hAnsi="Arial"/>
          <w:b/>
          <w:color w:val="4472C4" w:themeColor="accent1"/>
          <w:sz w:val="28"/>
          <w:szCs w:val="28"/>
        </w:rPr>
        <w:t>Licence d’études européennes et internationales : cours savoirs fondamentaux (tronc commun, en français).</w:t>
      </w:r>
    </w:p>
    <w:p>
      <w:pPr>
        <w:pStyle w:val="Default"/>
        <w:jc w:val="both"/>
        <w:rPr>
          <w:rFonts w:ascii="Arial" w:hAnsi="Arial" w:cs="Arial"/>
          <w:b/>
          <w:b/>
          <w:color w:val="4472C4" w:themeColor="accent1"/>
          <w:sz w:val="28"/>
          <w:szCs w:val="28"/>
        </w:rPr>
      </w:pPr>
      <w:r>
        <w:rPr>
          <w:rFonts w:cs="Arial" w:ascii="Arial" w:hAnsi="Arial"/>
          <w:b/>
          <w:color w:val="4472C4" w:themeColor="accent1"/>
          <w:sz w:val="28"/>
          <w:szCs w:val="28"/>
        </w:rPr>
      </w:r>
    </w:p>
    <w:p>
      <w:pPr>
        <w:pStyle w:val="Default"/>
        <w:jc w:val="both"/>
        <w:rPr>
          <w:rFonts w:ascii="Arial" w:hAnsi="Arial" w:cs="Arial"/>
          <w:b/>
          <w:b/>
          <w:color w:val="4472C4" w:themeColor="accent1"/>
          <w:sz w:val="28"/>
          <w:szCs w:val="28"/>
        </w:rPr>
      </w:pPr>
      <w:r>
        <w:rPr>
          <w:rFonts w:cs="Arial" w:ascii="Arial" w:hAnsi="Arial"/>
          <w:b/>
          <w:color w:val="4472C4" w:themeColor="accent1"/>
          <w:sz w:val="28"/>
          <w:szCs w:val="28"/>
        </w:rPr>
        <w:t>Licence 1</w:t>
      </w:r>
      <w:r>
        <w:rPr>
          <w:rFonts w:cs="Arial" w:ascii="Arial" w:hAnsi="Arial"/>
          <w:b/>
          <w:color w:val="4472C4" w:themeColor="accent1"/>
          <w:sz w:val="28"/>
          <w:szCs w:val="28"/>
          <w:vertAlign w:val="superscript"/>
        </w:rPr>
        <w:t>e</w:t>
      </w:r>
      <w:r>
        <w:rPr>
          <w:rFonts w:cs="Arial" w:ascii="Arial" w:hAnsi="Arial"/>
          <w:b/>
          <w:color w:val="4472C4" w:themeColor="accent1"/>
          <w:sz w:val="28"/>
          <w:szCs w:val="28"/>
        </w:rPr>
        <w:t xml:space="preserve"> année :  </w:t>
      </w:r>
    </w:p>
    <w:p>
      <w:pPr>
        <w:pStyle w:val="Normal"/>
        <w:rPr>
          <w:rFonts w:ascii="Arial" w:hAnsi="Arial" w:cs="Arial"/>
          <w:b/>
          <w:b/>
          <w:bCs/>
        </w:rPr>
      </w:pPr>
      <w:r>
        <w:rPr>
          <w:rFonts w:cs="Arial" w:ascii="Arial" w:hAnsi="Arial"/>
          <w:b/>
          <w:bCs/>
        </w:rPr>
        <w:t>UE 1 EC Histoire de l’Europe XXe siècle : repères fondamentaux – Mme. Maillet, M. Fournel.</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En raison des deux conflits majeurs qui la déchirent au cours du XXe siècle, l’Europe passe du rôle d’espace hégémonique au plan économique, militaire et scientifique – dominant en outre une partie de la planète du fait de l’expansion coloniale –, à celui de continent partagé par la Guerre froide entre zones d’influence américaine et soviétique. Si l’effondrement du bloc socialiste, survenu entre 1989 et 1991, a fait tomber le « Rideau de fer » qui la divisait, l’Europe n’en a pas pour autant retrouvé la place qui était la sienne : à l’ère de la mondialisation, génératrice d'ouverture mais aussi de résistances, voire de crispations identitaires, le « Vieux Continent », malgré sa force économique et affaibli de surcroît par ses divisions politiques et son déficit démographique – en particulier par rapport à l’Afrique  –, peine à s’affirmer face aux grandes puissances que sont la Chine et les États-Unis d’Amérique.</w:t>
      </w:r>
    </w:p>
    <w:p>
      <w:pPr>
        <w:pStyle w:val="Normal"/>
        <w:jc w:val="both"/>
        <w:rPr>
          <w:rFonts w:ascii="Arial" w:hAnsi="Arial" w:cs="Arial"/>
        </w:rPr>
      </w:pPr>
      <w:r>
        <w:rPr>
          <w:rFonts w:cs="Arial" w:ascii="Arial" w:hAnsi="Arial"/>
        </w:rPr>
      </w:r>
    </w:p>
    <w:p>
      <w:pPr>
        <w:pStyle w:val="Normal"/>
        <w:rPr>
          <w:rFonts w:ascii="Arial" w:hAnsi="Arial" w:cs="Arial"/>
          <w:b/>
          <w:b/>
        </w:rPr>
      </w:pPr>
      <w:r>
        <w:rPr>
          <w:rFonts w:cs="Arial" w:ascii="Arial" w:hAnsi="Arial"/>
          <w:b/>
        </w:rPr>
        <w:t>UE 1 EC Littératures européennes comparées : repères fondamentaux – M. Arias</w:t>
      </w:r>
    </w:p>
    <w:p>
      <w:pPr>
        <w:pStyle w:val="Normal"/>
        <w:rPr>
          <w:rFonts w:ascii="Arial" w:hAnsi="Arial" w:cs="Arial"/>
          <w:b/>
          <w:b/>
          <w:bCs/>
          <w:color w:val="4472C4" w:themeColor="accent1"/>
        </w:rPr>
      </w:pPr>
      <w:r>
        <w:rPr>
          <w:rFonts w:cs="Arial" w:ascii="Arial" w:hAnsi="Arial"/>
          <w:b/>
        </w:rPr>
        <w:t>L’imaginaire du voyage de Chateaubriand à Gombrowicz</w:t>
      </w:r>
    </w:p>
    <w:p>
      <w:pPr>
        <w:pStyle w:val="Normal"/>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Cet EC propose un parcours littéraire organisé thématiquement autour de la notion de voyage. Après une brève introduction visant à mettre en place quelques concepts fondamentaux de la théorie de la littérature et de la littérature comparée, il s’agira d’analyser des poèmes, des extraits de récits de voyage et des nouvelles du XIXe et du XXe siècles. François-René de Chateaubriand, Joseph Conrad, Thomas Mann, Witold Gombrowicz, Vladimir Nabokov, Henri Michaux, Italo Calvino, Pier Paolo Pasolini et Karen Blixen se trouvent parmi les auteurs au programme. Il s’agira aussi de comparer un récit filmique (le film du réalisateur portugais Hugo Vieira da Silva </w:t>
      </w:r>
      <w:r>
        <w:rPr>
          <w:rFonts w:cs="Arial" w:ascii="Arial" w:hAnsi="Arial"/>
          <w:i/>
        </w:rPr>
        <w:t>Un avant-poste du progrès</w:t>
      </w:r>
      <w:r>
        <w:rPr>
          <w:rFonts w:cs="Arial" w:ascii="Arial" w:hAnsi="Arial"/>
        </w:rPr>
        <w:t xml:space="preserve">, 2017) avec la nouvelle éponyme de Joseph Conrad, publiée en 1897. Un recueil de textes sera distribué en début de semestre.     </w:t>
      </w:r>
    </w:p>
    <w:p>
      <w:pPr>
        <w:pStyle w:val="Normal"/>
        <w:rPr/>
      </w:pPr>
      <w:r>
        <w:rPr/>
      </w:r>
    </w:p>
    <w:p>
      <w:pPr>
        <w:pStyle w:val="Default"/>
        <w:jc w:val="both"/>
        <w:rPr>
          <w:rFonts w:ascii="Arial" w:hAnsi="Arial" w:cs="Arial"/>
          <w:b/>
          <w:b/>
          <w:color w:val="4472C4" w:themeColor="accent1"/>
          <w:sz w:val="28"/>
          <w:szCs w:val="28"/>
        </w:rPr>
      </w:pPr>
      <w:r>
        <w:rPr>
          <w:rFonts w:cs="Arial" w:ascii="Arial" w:hAnsi="Arial"/>
          <w:b/>
          <w:color w:val="4472C4" w:themeColor="accent1"/>
          <w:sz w:val="28"/>
          <w:szCs w:val="28"/>
        </w:rPr>
        <w:t>Licence 2</w:t>
      </w:r>
      <w:r>
        <w:rPr>
          <w:rFonts w:cs="Arial" w:ascii="Arial" w:hAnsi="Arial"/>
          <w:b/>
          <w:color w:val="4472C4" w:themeColor="accent1"/>
          <w:sz w:val="28"/>
          <w:szCs w:val="28"/>
          <w:vertAlign w:val="superscript"/>
        </w:rPr>
        <w:t>e</w:t>
      </w:r>
      <w:r>
        <w:rPr>
          <w:rFonts w:cs="Arial" w:ascii="Arial" w:hAnsi="Arial"/>
          <w:b/>
          <w:color w:val="4472C4" w:themeColor="accent1"/>
          <w:sz w:val="28"/>
          <w:szCs w:val="28"/>
        </w:rPr>
        <w:t xml:space="preserve"> année :  </w:t>
      </w:r>
    </w:p>
    <w:p>
      <w:pPr>
        <w:pStyle w:val="Default"/>
        <w:jc w:val="both"/>
        <w:rPr>
          <w:rFonts w:ascii="Arial" w:hAnsi="Arial" w:cs="Arial"/>
          <w:b/>
          <w:b/>
          <w:bCs/>
          <w:color w:val="auto"/>
        </w:rPr>
      </w:pPr>
      <w:r>
        <w:rPr>
          <w:rFonts w:cs="Arial" w:ascii="Arial" w:hAnsi="Arial"/>
          <w:b/>
          <w:color w:val="auto"/>
        </w:rPr>
        <w:t xml:space="preserve">UE 9 </w:t>
      </w:r>
      <w:r>
        <w:rPr>
          <w:rFonts w:cs="Arial" w:ascii="Arial" w:hAnsi="Arial"/>
          <w:b/>
          <w:bCs/>
          <w:color w:val="auto"/>
        </w:rPr>
        <w:t xml:space="preserve">EC </w:t>
      </w:r>
    </w:p>
    <w:p>
      <w:pPr>
        <w:pStyle w:val="Default"/>
        <w:jc w:val="both"/>
        <w:rPr>
          <w:rFonts w:ascii="Arial" w:hAnsi="Arial" w:cs="Arial"/>
          <w:b/>
          <w:b/>
          <w:bCs/>
          <w:color w:val="4472C4" w:themeColor="accent1"/>
        </w:rPr>
      </w:pPr>
      <w:r>
        <w:rPr>
          <w:rFonts w:cs="Arial" w:ascii="Arial" w:hAnsi="Arial"/>
          <w:b/>
          <w:bCs/>
          <w:color w:val="auto"/>
        </w:rPr>
        <w:t xml:space="preserve">Altérité dans les arts européens : perspectives comparées. Grands auteurs européens. </w:t>
      </w:r>
      <w:r>
        <w:rPr>
          <w:rFonts w:cs="Arial" w:ascii="Arial" w:hAnsi="Arial"/>
          <w:b/>
          <w:bCs/>
        </w:rPr>
        <w:t>Mme. Desmet (bloc 1)</w:t>
      </w:r>
    </w:p>
    <w:p>
      <w:pPr>
        <w:pStyle w:val="Default"/>
        <w:jc w:val="both"/>
        <w:rPr>
          <w:rFonts w:ascii="Arial" w:hAnsi="Arial" w:cs="Arial"/>
          <w:b/>
          <w:b/>
          <w:bCs/>
          <w:highlight w:val="yellow"/>
        </w:rPr>
      </w:pPr>
      <w:r>
        <w:rPr>
          <w:rFonts w:cs="Arial" w:ascii="Arial" w:hAnsi="Arial"/>
          <w:b/>
          <w:bCs/>
          <w:highlight w:val="yellow"/>
        </w:rPr>
      </w:r>
    </w:p>
    <w:p>
      <w:pPr>
        <w:pStyle w:val="Normal"/>
        <w:shd w:val="clear" w:color="auto" w:fill="FFFFFF"/>
        <w:jc w:val="both"/>
        <w:rPr>
          <w:rFonts w:ascii="Arial" w:hAnsi="Arial" w:cs="Arial"/>
          <w:color w:val="333333"/>
        </w:rPr>
      </w:pPr>
      <w:r>
        <w:rPr>
          <w:rFonts w:cs="Arial" w:ascii="Arial" w:hAnsi="Arial"/>
          <w:color w:val="333333"/>
        </w:rPr>
        <w:t>Le cours portera sur un ensemble d'auteurs importants de la littérature européenne, de Shakespeare à Cervantes, de Joyce à Pessoa, évoqués par des enseignants spécialistes de différentes aires culturelles. Nous essaierons de mettre en lumière certains des  éléments qui contribuent à faire d'un auteur inscrit dans une culture locale et nationale un auteur européen. Seront donc analysées certaines thématiques caractéristiques des œuvres, les plus importantes du point de vue de l'identification d'une culture à proprement parler européenne, mais également leur réception et circulation. Nous nous attacherons à montrer la façon dont ces auteurs sont devenus, ou en voie de devenir, des "classiques" de la littérature européenne.</w:t>
      </w:r>
    </w:p>
    <w:p>
      <w:pPr>
        <w:pStyle w:val="Default"/>
        <w:jc w:val="both"/>
        <w:rPr>
          <w:rFonts w:ascii="Arial" w:hAnsi="Arial" w:cs="Arial"/>
          <w:highlight w:val="yellow"/>
        </w:rPr>
      </w:pPr>
      <w:r>
        <w:rPr>
          <w:rFonts w:cs="Arial" w:ascii="Arial" w:hAnsi="Arial"/>
          <w:highlight w:val="yellow"/>
        </w:rPr>
      </w:r>
    </w:p>
    <w:p>
      <w:pPr>
        <w:pStyle w:val="Default"/>
        <w:jc w:val="both"/>
        <w:rPr>
          <w:rFonts w:ascii="Arial" w:hAnsi="Arial" w:cs="Arial"/>
          <w:b/>
          <w:b/>
          <w:bCs/>
        </w:rPr>
      </w:pPr>
      <w:r>
        <w:rPr>
          <w:rFonts w:cs="Arial" w:ascii="Arial" w:hAnsi="Arial"/>
          <w:b/>
          <w:bCs/>
          <w:color w:val="auto"/>
        </w:rPr>
        <w:t xml:space="preserve">Altérité dans les arts européens : perspectives comparées. </w:t>
      </w:r>
    </w:p>
    <w:p>
      <w:pPr>
        <w:pStyle w:val="Oxb0b4c42d84standarduser"/>
        <w:spacing w:beforeAutospacing="0" w:before="0" w:afterAutospacing="0" w:after="0"/>
        <w:jc w:val="both"/>
        <w:rPr>
          <w:rFonts w:ascii="Arial" w:hAnsi="Arial" w:cs="Arial"/>
          <w:b/>
          <w:b/>
          <w:bCs/>
        </w:rPr>
      </w:pPr>
      <w:r>
        <w:rPr>
          <w:rFonts w:cs="Arial" w:ascii="Arial" w:hAnsi="Arial"/>
          <w:b/>
          <w:bCs/>
        </w:rPr>
        <w:t xml:space="preserve">Mme Arrué (bloc 2) : </w:t>
      </w:r>
    </w:p>
    <w:p>
      <w:pPr>
        <w:pStyle w:val="Oxb0b4c42d84standarduser"/>
        <w:spacing w:beforeAutospacing="0" w:before="0" w:afterAutospacing="0" w:after="0"/>
        <w:jc w:val="both"/>
        <w:rPr>
          <w:rFonts w:ascii="Arial" w:hAnsi="Arial" w:cs="Arial"/>
        </w:rPr>
      </w:pPr>
      <w:r>
        <w:rPr>
          <w:rFonts w:cs="Arial" w:ascii="Arial" w:hAnsi="Arial"/>
        </w:rPr>
      </w:r>
    </w:p>
    <w:p>
      <w:pPr>
        <w:pStyle w:val="Oxb0b4c42d84standarduser"/>
        <w:spacing w:beforeAutospacing="0" w:before="0" w:afterAutospacing="0" w:after="0"/>
        <w:jc w:val="both"/>
        <w:rPr>
          <w:rFonts w:ascii="Arial" w:hAnsi="Arial" w:cs="Arial"/>
        </w:rPr>
      </w:pPr>
      <w:r>
        <w:rPr>
          <w:rFonts w:cs="Arial" w:ascii="Arial" w:hAnsi="Arial"/>
        </w:rPr>
        <w:t>Ce cours se propose d’analyser les différentes représentations du non européen qui naissent suite à la « découverte »  des Amériques dès la fin du XVème siècle par ce qui deviendra l’Europe. Pour ce faire, le cours s’attachera dans un premier temps à étudier des documents iconographiques afin d’analyser la construction des représentations portant sur le Monde dit Nouveau conquis par la couronne espagnole. Nous verrons ce faisant comment ces représentations expriment, légitiment et conditionnent, et ce jusqu’à nos jours, la nature des sociétés dans lesquelles les populations autochtones se retrouvent insérées.</w:t>
      </w:r>
    </w:p>
    <w:p>
      <w:pPr>
        <w:pStyle w:val="Oxb0b4c42d84standarduser"/>
        <w:spacing w:beforeAutospacing="0" w:before="0" w:afterAutospacing="0" w:after="0"/>
        <w:jc w:val="both"/>
        <w:rPr>
          <w:rFonts w:ascii="Arial" w:hAnsi="Arial" w:cs="Arial"/>
        </w:rPr>
      </w:pPr>
      <w:r>
        <w:rPr>
          <w:rFonts w:cs="Arial" w:ascii="Arial" w:hAnsi="Arial"/>
        </w:rPr>
        <w:t>Dans un second temps, nous étudierons la remise en question et la déconstruction qui est faite de ces représentations qui ont assis la domination coloniale et post-coloniale en nous centrant plus particulièrement sur les phénomènes de réappropriation culturelle de la part de cet « Autre ». </w:t>
      </w:r>
    </w:p>
    <w:p>
      <w:pPr>
        <w:pStyle w:val="Default"/>
        <w:jc w:val="both"/>
        <w:rPr>
          <w:rFonts w:ascii="Arial" w:hAnsi="Arial" w:cs="Arial"/>
          <w:color w:val="auto"/>
        </w:rPr>
      </w:pPr>
      <w:r>
        <w:rPr>
          <w:rFonts w:cs="Arial" w:ascii="Arial" w:hAnsi="Arial"/>
          <w:color w:val="auto"/>
        </w:rPr>
      </w:r>
    </w:p>
    <w:p>
      <w:pPr>
        <w:pStyle w:val="Default"/>
        <w:jc w:val="both"/>
        <w:rPr>
          <w:rFonts w:ascii="Arial" w:hAnsi="Arial" w:cs="Arial"/>
          <w:b/>
          <w:b/>
          <w:bCs/>
        </w:rPr>
      </w:pPr>
      <w:r>
        <w:rPr>
          <w:rFonts w:cs="Arial" w:ascii="Arial" w:hAnsi="Arial"/>
          <w:b/>
          <w:bCs/>
          <w:color w:val="auto"/>
        </w:rPr>
        <w:t>UE 9 EC Histoire des colonisations européennes (cours collectif : responsable : M. Baisez)</w:t>
      </w:r>
    </w:p>
    <w:p>
      <w:pPr>
        <w:pStyle w:val="Default"/>
        <w:jc w:val="both"/>
        <w:rPr>
          <w:rFonts w:ascii="Arial" w:hAnsi="Arial" w:cs="Arial"/>
        </w:rPr>
      </w:pPr>
      <w:r>
        <w:rPr>
          <w:rFonts w:cs="Arial" w:ascii="Arial" w:hAnsi="Arial"/>
        </w:rPr>
      </w:r>
    </w:p>
    <w:p>
      <w:pPr>
        <w:pStyle w:val="Normal"/>
        <w:jc w:val="both"/>
        <w:rPr>
          <w:rFonts w:ascii="Arial" w:hAnsi="Arial" w:cs="Arial"/>
        </w:rPr>
      </w:pPr>
      <w:r>
        <w:rPr>
          <w:rFonts w:cs="Arial" w:ascii="Arial" w:hAnsi="Arial"/>
          <w:color w:val="222222"/>
          <w:shd w:fill="FFFFFF" w:val="clear"/>
        </w:rPr>
        <w:t>Ce cours assuré par des spécialistes de cinq aires culturelles et linguistiques (portugaise, espagnole, britannique, italienne, allemande) offre une perspective plurielle sur le long processus d’expansion européenne dans le monde depuis le XV</w:t>
      </w:r>
      <w:r>
        <w:rPr>
          <w:rFonts w:cs="Arial" w:ascii="Arial" w:hAnsi="Arial"/>
          <w:color w:val="222222"/>
          <w:shd w:fill="FFFFFF" w:val="clear"/>
          <w:vertAlign w:val="superscript"/>
        </w:rPr>
        <w:t>e</w:t>
      </w:r>
      <w:r>
        <w:rPr>
          <w:rFonts w:cs="Arial" w:ascii="Arial" w:hAnsi="Arial"/>
          <w:color w:val="222222"/>
          <w:shd w:fill="FFFFFF" w:val="clear"/>
        </w:rPr>
        <w:t> siècle jusqu’à la décolonisation. A travers des séances thématiques centrées chacune sur un pays, nous aborderons l’histoire du fait colonial et impérial, les différentes modalités d’exercice de la domination, les stratégies de résistance, d’adaptation, de collaboration, d’intégration déployées par les populations colonisées, et plus généralement les interactions entre métropoles et colonies ou centres et périphéries. Nous chercherons à la fois à définir et à illustrer les notions essentielles de colonialisme et d’impérialisme en parcourant, des « grandes découvertes » à la « décolonisation », les formes multiples qu’a pris cette « préhistoire » du monde contemporain globalisé, dont l’héritage continue de jouer un rôle déterminant, non seulement dans les relations internationales mais aussi au sein des anciennes sociétés impériales ou coloniales.</w:t>
      </w:r>
    </w:p>
    <w:p>
      <w:pPr>
        <w:pStyle w:val="Normal"/>
        <w:jc w:val="both"/>
        <w:rPr>
          <w:rFonts w:ascii="Arial" w:hAnsi="Arial" w:cs="Arial"/>
          <w:color w:val="222222"/>
          <w:shd w:fill="FFFFFF" w:val="clear"/>
        </w:rPr>
      </w:pPr>
      <w:r>
        <w:rPr>
          <w:rFonts w:cs="Arial" w:ascii="Arial" w:hAnsi="Arial"/>
          <w:color w:val="222222"/>
          <w:shd w:fill="FFFFFF" w:val="clear"/>
        </w:rPr>
        <w:t>Une bibliographie indicative sera fournie lors des premières séances.</w:t>
      </w:r>
    </w:p>
    <w:p>
      <w:pPr>
        <w:pStyle w:val="Normal"/>
        <w:rPr/>
      </w:pPr>
      <w:r>
        <w:rPr/>
      </w:r>
    </w:p>
    <w:p>
      <w:pPr>
        <w:pStyle w:val="Default"/>
        <w:jc w:val="both"/>
        <w:rPr>
          <w:rFonts w:ascii="Arial" w:hAnsi="Arial" w:cs="Arial"/>
          <w:b/>
          <w:b/>
          <w:color w:val="4472C4" w:themeColor="accent1"/>
          <w:sz w:val="28"/>
          <w:szCs w:val="28"/>
        </w:rPr>
      </w:pPr>
      <w:r>
        <w:rPr>
          <w:rFonts w:cs="Arial" w:ascii="Arial" w:hAnsi="Arial"/>
          <w:b/>
          <w:color w:val="4472C4" w:themeColor="accent1"/>
          <w:sz w:val="28"/>
          <w:szCs w:val="28"/>
        </w:rPr>
        <w:t>Licence 3</w:t>
      </w:r>
      <w:r>
        <w:rPr>
          <w:rFonts w:cs="Arial" w:ascii="Arial" w:hAnsi="Arial"/>
          <w:b/>
          <w:color w:val="4472C4" w:themeColor="accent1"/>
          <w:sz w:val="28"/>
          <w:szCs w:val="28"/>
          <w:vertAlign w:val="superscript"/>
        </w:rPr>
        <w:t>e</w:t>
      </w:r>
      <w:r>
        <w:rPr>
          <w:rFonts w:cs="Arial" w:ascii="Arial" w:hAnsi="Arial"/>
          <w:b/>
          <w:color w:val="4472C4" w:themeColor="accent1"/>
          <w:sz w:val="28"/>
          <w:szCs w:val="28"/>
        </w:rPr>
        <w:t xml:space="preserve"> année :  </w:t>
      </w:r>
    </w:p>
    <w:p>
      <w:pPr>
        <w:pStyle w:val="Standard"/>
        <w:jc w:val="both"/>
        <w:rPr>
          <w:rFonts w:ascii="Arial" w:hAnsi="Arial" w:cs="Arial"/>
          <w:b/>
          <w:b/>
          <w:bCs/>
        </w:rPr>
      </w:pPr>
      <w:r>
        <w:rPr>
          <w:rFonts w:cs="Arial" w:ascii="Arial" w:hAnsi="Arial"/>
          <w:b/>
          <w:bCs/>
        </w:rPr>
        <w:t>UE 17 EC L’Europe post-coloniale : imaginaires et défis – M. Chamouleau</w:t>
      </w:r>
    </w:p>
    <w:p>
      <w:pPr>
        <w:pStyle w:val="Standard"/>
        <w:jc w:val="both"/>
        <w:rPr>
          <w:rFonts w:ascii="Arial" w:hAnsi="Arial" w:cs="Arial"/>
          <w:b/>
          <w:b/>
          <w:bCs/>
        </w:rPr>
      </w:pPr>
      <w:r>
        <w:rPr>
          <w:rFonts w:cs="Arial" w:ascii="Arial" w:hAnsi="Arial"/>
          <w:b/>
          <w:bCs/>
        </w:rPr>
      </w:r>
    </w:p>
    <w:p>
      <w:pPr>
        <w:pStyle w:val="Normal"/>
        <w:jc w:val="both"/>
        <w:rPr>
          <w:rFonts w:ascii="Arial" w:hAnsi="Arial" w:cs="Arial"/>
          <w:b/>
          <w:b/>
          <w:bCs/>
          <w:sz w:val="22"/>
          <w:szCs w:val="22"/>
        </w:rPr>
      </w:pPr>
      <w:r>
        <w:rPr>
          <w:rFonts w:cs="Arial" w:ascii="Arial" w:hAnsi="Arial"/>
          <w:b/>
          <w:bCs/>
          <w:sz w:val="22"/>
          <w:szCs w:val="22"/>
        </w:rPr>
        <w:t>« Langues et colonialité : circulation des savoirs dans l’espace transatlantique »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Brice Chamouleau</w:t>
      </w:r>
    </w:p>
    <w:p>
      <w:pPr>
        <w:pStyle w:val="Normal"/>
        <w:jc w:val="both"/>
        <w:rPr>
          <w:rFonts w:ascii="Arial" w:hAnsi="Arial" w:cs="Arial"/>
          <w:b/>
          <w:b/>
          <w:bCs/>
          <w:sz w:val="22"/>
          <w:szCs w:val="22"/>
        </w:rPr>
      </w:pPr>
      <w:r>
        <w:rPr>
          <w:rFonts w:cs="Arial" w:ascii="Arial" w:hAnsi="Arial"/>
          <w:b/>
          <w:bCs/>
          <w:sz w:val="22"/>
          <w:szCs w:val="22"/>
        </w:rPr>
        <w:t>Semestre 1, L3 Licence études européennes et internationales</w:t>
      </w:r>
    </w:p>
    <w:p>
      <w:pPr>
        <w:pStyle w:val="Normal"/>
        <w:jc w:val="both"/>
        <w:rPr>
          <w:rFonts w:ascii="Arial" w:hAnsi="Arial" w:cs="Arial"/>
          <w:b/>
          <w:b/>
          <w:bCs/>
          <w:sz w:val="22"/>
          <w:szCs w:val="22"/>
        </w:rPr>
      </w:pPr>
      <w:r>
        <w:rPr>
          <w:rFonts w:cs="Arial" w:ascii="Arial" w:hAnsi="Arial"/>
          <w:b/>
          <w:bCs/>
          <w:sz w:val="22"/>
          <w:szCs w:val="22"/>
        </w:rPr>
        <w:t>2023/2024</w:t>
      </w:r>
    </w:p>
    <w:p>
      <w:pPr>
        <w:pStyle w:val="Normal"/>
        <w:jc w:val="both"/>
        <w:rPr>
          <w:rFonts w:ascii="Arial" w:hAnsi="Arial" w:cs="Arial"/>
          <w:b/>
          <w:b/>
          <w:bCs/>
          <w:sz w:val="22"/>
          <w:szCs w:val="22"/>
        </w:rPr>
      </w:pPr>
      <w:r>
        <w:rPr>
          <w:rFonts w:cs="Arial" w:ascii="Arial" w:hAnsi="Arial"/>
          <w:b/>
          <w:bCs/>
          <w:sz w:val="22"/>
          <w:szCs w:val="22"/>
        </w:rPr>
        <w:t xml:space="preserve">Mercredi 9-12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rPr>
      </w:pPr>
      <w:r>
        <w:rPr>
          <w:rFonts w:cs="Arial" w:ascii="Arial" w:hAnsi="Arial"/>
        </w:rPr>
        <w:t xml:space="preserve">Cet EC s’intéresse à la circulation des savoirs critiques sur la colonialité de l’euromodernité dans l’espace transatlantique, entre Amérique et Europe, quand ils viennent politiser les contours des cultures juridiques nationales en contexte post-impérial et post-humain. Ces savoirs post-coloniaux et décoloniaux font intervenir simultanément des catégories relatives au genre, à la colonialité et aux rapports humain/non humain et nature/culture, associées à différentes traditions de la modernité occidentale. Parmi ceux-ci, on s’intéressera notamment à l’intersectionnalité, au rapport au « vivant », aux topographies imaginaires émergentes. </w:t>
      </w:r>
    </w:p>
    <w:p>
      <w:pPr>
        <w:pStyle w:val="Normal"/>
        <w:jc w:val="both"/>
        <w:rPr>
          <w:rFonts w:ascii="Arial" w:hAnsi="Arial" w:cs="Arial"/>
        </w:rPr>
      </w:pPr>
      <w:r>
        <w:rPr>
          <w:rFonts w:cs="Arial" w:ascii="Arial" w:hAnsi="Arial"/>
        </w:rPr>
        <w:t>Il s’agira de réfléchir aux effets de la traduction de ces catégories critiques d’une langue à l’autre sur les descriptions historiques des citoyennetés européennes qu’elles rendent disponibles, pour autant que ces descriptions régulent les modes d’action au présent. Les langues concernées sont l’anglais, le français, l’espagnol et le portugais (le cours sera donné en français). L’objet principal de ce cours est d’interroger ce que font la médiation linguistique, la création poétique, aux formes de l’agir actuelles : ces répertoires construisent de nouvelles représentations du passé et du présent de l’Europe confrontée à ses héritages impériaux, au moyen d’innovations poétiques et conceptuelles qui légitiment de nouvelles actions. Plus fondamentalement, cet EC permettra de sensibiliser les étudiants à la manière qu’ont les langues de constituer une médiation cognitive dans le rapport au monde ; il visera alors à interroger ce qui reste, dans un geste critique qui aspire au dépassement de l’</w:t>
      </w:r>
      <w:r>
        <w:rPr>
          <w:rFonts w:cs="Arial" w:ascii="Arial" w:hAnsi="Arial"/>
          <w:i/>
          <w:iCs/>
        </w:rPr>
        <w:t>épistémè</w:t>
      </w:r>
      <w:r>
        <w:rPr>
          <w:rFonts w:cs="Arial" w:ascii="Arial" w:hAnsi="Arial"/>
        </w:rPr>
        <w:t xml:space="preserve"> des Modernes, du rapport métaphorique que ces derniers ont entretenu avec le langage, engageant une discussion entre sciences humaines et sciences sociales au prisme des médiations des langues.</w:t>
      </w:r>
    </w:p>
    <w:p>
      <w:pPr>
        <w:pStyle w:val="Normal"/>
        <w:jc w:val="both"/>
        <w:rPr>
          <w:rFonts w:ascii="Arial" w:hAnsi="Arial" w:cs="Arial"/>
        </w:rPr>
      </w:pPr>
      <w:r>
        <w:rPr>
          <w:rFonts w:cs="Arial" w:ascii="Arial" w:hAnsi="Arial"/>
        </w:rPr>
      </w:r>
    </w:p>
    <w:p>
      <w:pPr>
        <w:pStyle w:val="Normal"/>
        <w:jc w:val="both"/>
        <w:rPr>
          <w:rFonts w:ascii="Arial" w:hAnsi="Arial" w:cs="Arial"/>
          <w:b/>
          <w:b/>
          <w:bCs/>
          <w:sz w:val="22"/>
          <w:szCs w:val="22"/>
        </w:rPr>
      </w:pPr>
      <w:r>
        <w:rPr>
          <w:rFonts w:cs="Arial" w:ascii="Arial" w:hAnsi="Arial"/>
          <w:b/>
          <w:bCs/>
          <w:sz w:val="22"/>
          <w:szCs w:val="22"/>
        </w:rPr>
        <w:t>Bibliographie indicative :</w:t>
      </w:r>
    </w:p>
    <w:p>
      <w:pPr>
        <w:pStyle w:val="Normal"/>
        <w:jc w:val="both"/>
        <w:rPr>
          <w:rFonts w:ascii="Arial" w:hAnsi="Arial" w:cs="Arial"/>
          <w:sz w:val="22"/>
          <w:szCs w:val="22"/>
        </w:rPr>
      </w:pPr>
      <w:r>
        <w:rPr>
          <w:rFonts w:cs="Arial" w:ascii="Arial" w:hAnsi="Arial"/>
          <w:sz w:val="22"/>
          <w:szCs w:val="22"/>
        </w:rPr>
      </w:r>
    </w:p>
    <w:p>
      <w:pPr>
        <w:pStyle w:val="Notedebasdepage"/>
        <w:ind w:left="0" w:hanging="0"/>
        <w:rPr>
          <w:color w:val="000000"/>
          <w:sz w:val="22"/>
          <w:szCs w:val="22"/>
          <w:lang w:val="fr-FR"/>
        </w:rPr>
      </w:pPr>
      <w:r>
        <w:rPr>
          <w:color w:val="000000"/>
          <w:sz w:val="22"/>
          <w:szCs w:val="22"/>
          <w:lang w:val="fr-FR"/>
        </w:rPr>
        <w:t xml:space="preserve">Agamben, Giorgio, </w:t>
      </w:r>
      <w:r>
        <w:rPr>
          <w:i/>
          <w:iCs/>
          <w:color w:val="000000"/>
          <w:sz w:val="22"/>
          <w:szCs w:val="22"/>
          <w:lang w:val="fr-FR"/>
        </w:rPr>
        <w:t>La communauté qui vient</w:t>
      </w:r>
      <w:r>
        <w:rPr>
          <w:color w:val="000000"/>
          <w:sz w:val="22"/>
          <w:szCs w:val="22"/>
          <w:lang w:val="fr-FR"/>
        </w:rPr>
        <w:t>, Paris, Seuil, 1990.</w:t>
      </w:r>
    </w:p>
    <w:p>
      <w:pPr>
        <w:pStyle w:val="Notedebasdepage"/>
        <w:ind w:left="0" w:hanging="0"/>
        <w:rPr>
          <w:sz w:val="22"/>
          <w:szCs w:val="22"/>
          <w:lang w:val="fr-FR"/>
        </w:rPr>
      </w:pPr>
      <w:r>
        <w:rPr>
          <w:sz w:val="22"/>
          <w:szCs w:val="22"/>
          <w:lang w:val="fr-FR"/>
        </w:rPr>
        <w:t xml:space="preserve">Benasayag, Miguel, Cany, Bastien, </w:t>
      </w:r>
      <w:r>
        <w:rPr>
          <w:i/>
          <w:iCs/>
          <w:sz w:val="22"/>
          <w:szCs w:val="22"/>
          <w:lang w:val="fr-FR"/>
        </w:rPr>
        <w:t>Les nouvelles figures de l’agir. Penser et s’engager depuis le vivant</w:t>
      </w:r>
      <w:r>
        <w:rPr>
          <w:sz w:val="22"/>
          <w:szCs w:val="22"/>
          <w:lang w:val="fr-FR"/>
        </w:rPr>
        <w:t>, Paris, La Découverte, 2021.</w:t>
      </w:r>
    </w:p>
    <w:p>
      <w:pPr>
        <w:pStyle w:val="Normal"/>
        <w:jc w:val="both"/>
        <w:rPr>
          <w:rFonts w:ascii="Arial" w:hAnsi="Arial" w:cs="Arial"/>
          <w:sz w:val="22"/>
          <w:szCs w:val="22"/>
        </w:rPr>
      </w:pPr>
      <w:r>
        <w:rPr>
          <w:rFonts w:cs="Arial" w:ascii="Arial" w:hAnsi="Arial"/>
          <w:sz w:val="22"/>
          <w:szCs w:val="22"/>
        </w:rPr>
        <w:t xml:space="preserve">Benveniste, Émile, </w:t>
      </w:r>
      <w:r>
        <w:rPr>
          <w:rFonts w:cs="Arial" w:ascii="Arial" w:hAnsi="Arial"/>
          <w:i/>
          <w:iCs/>
          <w:sz w:val="22"/>
          <w:szCs w:val="22"/>
        </w:rPr>
        <w:t>Le vocabulaire des institutions indo-européennes</w:t>
      </w:r>
      <w:r>
        <w:rPr>
          <w:rFonts w:cs="Arial" w:ascii="Arial" w:hAnsi="Arial"/>
          <w:sz w:val="22"/>
          <w:szCs w:val="22"/>
        </w:rPr>
        <w:t>, Paris, Les Éditions de Minuit, 1969 (vol. 1 et 2).</w:t>
      </w:r>
    </w:p>
    <w:p>
      <w:pPr>
        <w:pStyle w:val="Normal"/>
        <w:jc w:val="both"/>
        <w:rPr>
          <w:rFonts w:ascii="Arial" w:hAnsi="Arial" w:eastAsia="Calibri" w:cs="Arial"/>
          <w:color w:val="000000"/>
          <w:sz w:val="22"/>
          <w:szCs w:val="22"/>
        </w:rPr>
      </w:pPr>
      <w:r>
        <w:rPr>
          <w:rFonts w:eastAsia="Calibri" w:cs="Arial" w:ascii="Arial" w:hAnsi="Arial"/>
          <w:color w:val="000000"/>
          <w:sz w:val="22"/>
          <w:szCs w:val="22"/>
        </w:rPr>
        <w:t xml:space="preserve">Pavard, Bibia, Rochefort, Florence, Zancarini-Fournel, Michelle, </w:t>
      </w:r>
      <w:r>
        <w:rPr>
          <w:rFonts w:eastAsia="Calibri" w:cs="Arial" w:ascii="Arial" w:hAnsi="Arial"/>
          <w:i/>
          <w:iCs/>
          <w:color w:val="000000"/>
          <w:sz w:val="22"/>
          <w:szCs w:val="22"/>
        </w:rPr>
        <w:t>Ne vous libérez pas, on s’en charge. Une histoire des féminismes de 1789 à nos jours</w:t>
      </w:r>
      <w:r>
        <w:rPr>
          <w:rFonts w:eastAsia="Calibri" w:cs="Arial" w:ascii="Arial" w:hAnsi="Arial"/>
          <w:color w:val="000000"/>
          <w:sz w:val="22"/>
          <w:szCs w:val="22"/>
        </w:rPr>
        <w:t>, Paris, La Découverte, 2020.</w:t>
      </w:r>
    </w:p>
    <w:p>
      <w:pPr>
        <w:pStyle w:val="Notedebasdepage"/>
        <w:ind w:left="0" w:hanging="0"/>
        <w:rPr>
          <w:color w:val="000000"/>
          <w:sz w:val="22"/>
          <w:szCs w:val="22"/>
          <w:lang w:val="fr-FR"/>
        </w:rPr>
      </w:pPr>
      <w:r>
        <w:rPr>
          <w:color w:val="000000"/>
          <w:sz w:val="22"/>
          <w:szCs w:val="22"/>
          <w:lang w:val="fr-FR"/>
        </w:rPr>
        <w:t xml:space="preserve">Blumenberg, Hans, </w:t>
      </w:r>
      <w:r>
        <w:rPr>
          <w:i/>
          <w:iCs/>
          <w:color w:val="000000"/>
          <w:sz w:val="22"/>
          <w:szCs w:val="22"/>
          <w:lang w:val="fr-FR"/>
        </w:rPr>
        <w:t>La légitimité des temps modernes</w:t>
      </w:r>
      <w:r>
        <w:rPr>
          <w:color w:val="000000"/>
          <w:sz w:val="22"/>
          <w:szCs w:val="22"/>
          <w:lang w:val="fr-FR"/>
        </w:rPr>
        <w:t>, Paris, Gallimard, 1966.</w:t>
      </w:r>
    </w:p>
    <w:p>
      <w:pPr>
        <w:pStyle w:val="Normal"/>
        <w:jc w:val="both"/>
        <w:rPr>
          <w:rFonts w:ascii="Arial" w:hAnsi="Arial" w:cs="Arial"/>
          <w:sz w:val="22"/>
          <w:szCs w:val="22"/>
        </w:rPr>
      </w:pPr>
      <w:r>
        <w:rPr>
          <w:rFonts w:cs="Arial" w:ascii="Arial" w:hAnsi="Arial"/>
          <w:sz w:val="22"/>
          <w:szCs w:val="22"/>
        </w:rPr>
        <w:t xml:space="preserve">Cassin, Barbara (dir.), </w:t>
      </w:r>
      <w:r>
        <w:rPr>
          <w:rFonts w:cs="Arial" w:ascii="Arial" w:hAnsi="Arial"/>
          <w:i/>
          <w:iCs/>
          <w:sz w:val="22"/>
          <w:szCs w:val="22"/>
        </w:rPr>
        <w:t>Vocabulaire européen des philosophies : dictionnaire des intraduisibles</w:t>
      </w:r>
      <w:r>
        <w:rPr>
          <w:rFonts w:cs="Arial" w:ascii="Arial" w:hAnsi="Arial"/>
          <w:sz w:val="22"/>
          <w:szCs w:val="22"/>
        </w:rPr>
        <w:t>, Paris, Le Robert, 2004.</w:t>
      </w:r>
    </w:p>
    <w:p>
      <w:pPr>
        <w:pStyle w:val="Notedebasdepage"/>
        <w:ind w:left="0" w:hanging="0"/>
        <w:rPr>
          <w:color w:val="000000"/>
          <w:sz w:val="22"/>
          <w:szCs w:val="22"/>
          <w:lang w:val="fr-FR"/>
        </w:rPr>
      </w:pPr>
      <w:r>
        <w:rPr>
          <w:color w:val="000000"/>
          <w:sz w:val="22"/>
          <w:szCs w:val="22"/>
          <w:lang w:val="fr-FR"/>
        </w:rPr>
        <w:t xml:space="preserve">Chamouleau, Brice, « Une histoire intersectionnelle de la citoyenneté espagnole ? Penser au-delà d’une métaphore post-coloniale », </w:t>
      </w:r>
      <w:r>
        <w:rPr>
          <w:i/>
          <w:iCs/>
          <w:color w:val="000000"/>
          <w:sz w:val="22"/>
          <w:szCs w:val="22"/>
          <w:lang w:val="fr-FR"/>
        </w:rPr>
        <w:t>Pandora : revue d’études hispaniques</w:t>
      </w:r>
      <w:r>
        <w:rPr>
          <w:color w:val="000000"/>
          <w:sz w:val="22"/>
          <w:szCs w:val="22"/>
          <w:lang w:val="fr-FR"/>
        </w:rPr>
        <w:t>, 2021.</w:t>
      </w:r>
    </w:p>
    <w:p>
      <w:pPr>
        <w:pStyle w:val="Notedebasdepage"/>
        <w:ind w:left="0" w:hanging="0"/>
        <w:rPr>
          <w:sz w:val="22"/>
          <w:szCs w:val="22"/>
          <w:lang w:val="fr-FR"/>
        </w:rPr>
      </w:pPr>
      <w:r>
        <w:rPr>
          <w:sz w:val="22"/>
          <w:szCs w:val="22"/>
          <w:lang w:val="fr-FR"/>
        </w:rPr>
        <w:t xml:space="preserve">Lakoff, George, </w:t>
      </w:r>
      <w:r>
        <w:rPr>
          <w:i/>
          <w:iCs/>
          <w:sz w:val="22"/>
          <w:szCs w:val="22"/>
          <w:lang w:val="fr-FR"/>
        </w:rPr>
        <w:t>Les métaphores de la vie quotidienne</w:t>
      </w:r>
      <w:r>
        <w:rPr>
          <w:sz w:val="22"/>
          <w:szCs w:val="22"/>
          <w:lang w:val="fr-FR"/>
        </w:rPr>
        <w:t>, Paris, Éditions de Minuit, 1985.</w:t>
      </w:r>
    </w:p>
    <w:p>
      <w:pPr>
        <w:pStyle w:val="Notedebasdepage"/>
        <w:ind w:left="0" w:hanging="0"/>
        <w:rPr>
          <w:color w:val="000000"/>
          <w:sz w:val="22"/>
          <w:szCs w:val="22"/>
          <w:lang w:val="fr-FR"/>
        </w:rPr>
      </w:pPr>
      <w:r>
        <w:rPr>
          <w:color w:val="000000"/>
          <w:sz w:val="22"/>
          <w:szCs w:val="22"/>
          <w:lang w:val="fr-FR"/>
        </w:rPr>
        <w:t xml:space="preserve">Latour, Bruno, </w:t>
      </w:r>
      <w:r>
        <w:rPr>
          <w:i/>
          <w:iCs/>
          <w:color w:val="000000"/>
          <w:sz w:val="22"/>
          <w:szCs w:val="22"/>
          <w:lang w:val="fr-FR"/>
        </w:rPr>
        <w:t>Nous n’avons jamais été modernes : essai d’anthropologie symétrique</w:t>
      </w:r>
      <w:r>
        <w:rPr>
          <w:color w:val="000000"/>
          <w:sz w:val="22"/>
          <w:szCs w:val="22"/>
          <w:lang w:val="fr-FR"/>
        </w:rPr>
        <w:t>, Paris, La Découverte, 1991.</w:t>
      </w:r>
    </w:p>
    <w:p>
      <w:pPr>
        <w:pStyle w:val="Notedebasdepage"/>
        <w:ind w:left="0" w:hanging="0"/>
        <w:rPr>
          <w:color w:val="000000"/>
          <w:sz w:val="22"/>
          <w:szCs w:val="22"/>
          <w:lang w:val="en-US"/>
        </w:rPr>
      </w:pPr>
      <w:r>
        <w:rPr>
          <w:sz w:val="22"/>
          <w:szCs w:val="22"/>
          <w:lang w:val="en-US"/>
        </w:rPr>
        <w:t xml:space="preserve">Mazower, Mark, </w:t>
      </w:r>
      <w:r>
        <w:rPr>
          <w:i/>
          <w:iCs/>
          <w:color w:val="000000"/>
          <w:sz w:val="22"/>
          <w:szCs w:val="22"/>
          <w:lang w:val="en-US"/>
        </w:rPr>
        <w:t>No enchanted palace: the end of Empire and the ideological origins of the United Nations</w:t>
      </w:r>
      <w:r>
        <w:rPr>
          <w:color w:val="000000"/>
          <w:sz w:val="22"/>
          <w:szCs w:val="22"/>
          <w:lang w:val="en-US"/>
        </w:rPr>
        <w:t>, Princeton, Princeton UP, 2013.</w:t>
      </w:r>
    </w:p>
    <w:p>
      <w:pPr>
        <w:pStyle w:val="Notedebasdepage"/>
        <w:ind w:left="0" w:hanging="0"/>
        <w:rPr>
          <w:sz w:val="22"/>
          <w:szCs w:val="22"/>
          <w:lang w:val="fr-FR"/>
        </w:rPr>
      </w:pPr>
      <w:r>
        <w:rPr>
          <w:sz w:val="22"/>
          <w:szCs w:val="22"/>
          <w:lang w:val="fr-FR"/>
        </w:rPr>
        <w:t xml:space="preserve">Ricoeur, Paul, </w:t>
      </w:r>
      <w:r>
        <w:rPr>
          <w:i/>
          <w:iCs/>
          <w:sz w:val="22"/>
          <w:szCs w:val="22"/>
          <w:lang w:val="fr-FR"/>
        </w:rPr>
        <w:t>La métaphore vive</w:t>
      </w:r>
      <w:r>
        <w:rPr>
          <w:sz w:val="22"/>
          <w:szCs w:val="22"/>
          <w:lang w:val="fr-FR"/>
        </w:rPr>
        <w:t>, Paris, Seuil, 1975.</w:t>
      </w:r>
    </w:p>
    <w:p>
      <w:pPr>
        <w:pStyle w:val="Normal"/>
        <w:jc w:val="both"/>
        <w:rPr>
          <w:rStyle w:val="LienInternet"/>
          <w:rFonts w:ascii="Arial" w:hAnsi="Arial" w:eastAsia="Calibri" w:cs="Arial"/>
          <w:color w:val="000000"/>
          <w:sz w:val="22"/>
          <w:szCs w:val="22"/>
        </w:rPr>
      </w:pPr>
      <w:r>
        <w:rPr>
          <w:rStyle w:val="LienInternet"/>
          <w:rFonts w:eastAsia="Calibri" w:cs="Arial" w:ascii="Arial" w:hAnsi="Arial"/>
          <w:color w:val="000000"/>
          <w:sz w:val="22"/>
          <w:szCs w:val="22"/>
        </w:rPr>
        <w:t xml:space="preserve">Schaub, Jean-Frédéric, </w:t>
      </w:r>
      <w:r>
        <w:rPr>
          <w:rStyle w:val="LienInternet"/>
          <w:rFonts w:eastAsia="Calibri" w:cs="Arial" w:ascii="Arial" w:hAnsi="Arial"/>
          <w:i/>
          <w:iCs/>
          <w:color w:val="000000"/>
          <w:sz w:val="22"/>
          <w:szCs w:val="22"/>
        </w:rPr>
        <w:t>Pour une histoire politique de la race</w:t>
      </w:r>
      <w:r>
        <w:rPr>
          <w:rStyle w:val="LienInternet"/>
          <w:rFonts w:eastAsia="Calibri" w:cs="Arial" w:ascii="Arial" w:hAnsi="Arial"/>
          <w:color w:val="000000"/>
          <w:sz w:val="22"/>
          <w:szCs w:val="22"/>
        </w:rPr>
        <w:t>, Paris, Seuil, 2015.</w:t>
      </w:r>
    </w:p>
    <w:p>
      <w:pPr>
        <w:pStyle w:val="Normal"/>
        <w:jc w:val="both"/>
        <w:rPr>
          <w:rFonts w:ascii="Arial" w:hAnsi="Arial" w:cs="Arial"/>
          <w:color w:val="000000"/>
          <w:sz w:val="22"/>
          <w:szCs w:val="22"/>
          <w:lang w:val="en-US"/>
        </w:rPr>
      </w:pPr>
      <w:r>
        <w:rPr>
          <w:rStyle w:val="LienInternet"/>
          <w:rFonts w:eastAsia="Calibri" w:cs="Arial" w:ascii="Arial" w:hAnsi="Arial"/>
          <w:color w:val="000000"/>
          <w:sz w:val="22"/>
          <w:szCs w:val="22"/>
          <w:lang w:val="en-US"/>
        </w:rPr>
        <w:t xml:space="preserve">Skinner, Quentin, </w:t>
      </w:r>
      <w:r>
        <w:rPr>
          <w:rStyle w:val="LienInternet"/>
          <w:rFonts w:eastAsia="Calibri" w:cs="Arial" w:ascii="Arial" w:hAnsi="Arial"/>
          <w:i/>
          <w:iCs/>
          <w:color w:val="000000"/>
          <w:sz w:val="22"/>
          <w:szCs w:val="22"/>
          <w:lang w:val="en-US"/>
        </w:rPr>
        <w:t>Visions of Politics</w:t>
      </w:r>
      <w:r>
        <w:rPr>
          <w:rStyle w:val="LienInternet"/>
          <w:rFonts w:eastAsia="Calibri" w:cs="Arial" w:ascii="Arial" w:hAnsi="Arial"/>
          <w:color w:val="000000"/>
          <w:sz w:val="22"/>
          <w:szCs w:val="22"/>
          <w:lang w:val="en-US"/>
        </w:rPr>
        <w:t xml:space="preserve">, vol. 1 </w:t>
      </w:r>
      <w:r>
        <w:rPr>
          <w:rStyle w:val="LienInternet"/>
          <w:rFonts w:eastAsia="Calibri" w:cs="Arial" w:ascii="Arial" w:hAnsi="Arial"/>
          <w:i/>
          <w:iCs/>
          <w:color w:val="000000"/>
          <w:sz w:val="22"/>
          <w:szCs w:val="22"/>
          <w:lang w:val="en-US"/>
        </w:rPr>
        <w:t>Regarding method</w:t>
      </w:r>
      <w:r>
        <w:rPr>
          <w:rStyle w:val="LienInternet"/>
          <w:rFonts w:eastAsia="Calibri" w:cs="Arial" w:ascii="Arial" w:hAnsi="Arial"/>
          <w:color w:val="000000"/>
          <w:sz w:val="22"/>
          <w:szCs w:val="22"/>
          <w:lang w:val="en-US"/>
        </w:rPr>
        <w:t>, Cambridge, Cambridge UP, 2002.</w:t>
      </w:r>
    </w:p>
    <w:p>
      <w:pPr>
        <w:pStyle w:val="Notedebasdepage"/>
        <w:ind w:left="0" w:hanging="0"/>
        <w:rPr>
          <w:sz w:val="22"/>
          <w:szCs w:val="22"/>
          <w:lang w:val="fr-FR"/>
        </w:rPr>
      </w:pPr>
      <w:r>
        <w:rPr>
          <w:rFonts w:eastAsia="Calibri"/>
          <w:color w:val="000000"/>
          <w:sz w:val="22"/>
          <w:szCs w:val="22"/>
          <w:lang w:val="fr-FR" w:eastAsia="en-US"/>
        </w:rPr>
        <w:t xml:space="preserve">Sousa Santos, Boaventura, </w:t>
      </w:r>
      <w:r>
        <w:rPr>
          <w:rFonts w:eastAsia="Calibri"/>
          <w:i/>
          <w:iCs/>
          <w:color w:val="000000"/>
          <w:sz w:val="22"/>
          <w:szCs w:val="22"/>
          <w:lang w:val="fr-FR" w:eastAsia="en-US"/>
        </w:rPr>
        <w:t>Epistémologies du Sud : mouvements citoyens et polémique sur la science</w:t>
      </w:r>
      <w:r>
        <w:rPr>
          <w:rFonts w:eastAsia="Calibri"/>
          <w:color w:val="000000"/>
          <w:sz w:val="22"/>
          <w:szCs w:val="22"/>
          <w:lang w:val="fr-FR" w:eastAsia="en-US"/>
        </w:rPr>
        <w:t>, Paris, Desclée de Brouwer, 2016.</w:t>
      </w:r>
    </w:p>
    <w:p>
      <w:pPr>
        <w:pStyle w:val="Notedebasdepage"/>
        <w:ind w:left="0" w:hanging="0"/>
        <w:rPr>
          <w:color w:val="000000"/>
          <w:sz w:val="22"/>
          <w:szCs w:val="22"/>
          <w:lang w:val="en-US"/>
        </w:rPr>
      </w:pPr>
      <w:r>
        <w:rPr>
          <w:color w:val="000000"/>
          <w:sz w:val="22"/>
          <w:szCs w:val="22"/>
          <w:lang w:val="en-US"/>
        </w:rPr>
        <w:t xml:space="preserve">Tully, James, </w:t>
      </w:r>
      <w:r>
        <w:rPr>
          <w:i/>
          <w:iCs/>
          <w:color w:val="000000"/>
          <w:sz w:val="22"/>
          <w:szCs w:val="22"/>
          <w:lang w:val="en-US"/>
        </w:rPr>
        <w:t>Strange multiplicity. Constitutionalism in an age of diversity</w:t>
      </w:r>
      <w:r>
        <w:rPr>
          <w:color w:val="000000"/>
          <w:sz w:val="22"/>
          <w:szCs w:val="22"/>
          <w:lang w:val="en-US"/>
        </w:rPr>
        <w:t>, Cambridge, Cambridge UP, 1995.</w:t>
      </w:r>
    </w:p>
    <w:p>
      <w:pPr>
        <w:pStyle w:val="Standard"/>
        <w:jc w:val="both"/>
        <w:rPr>
          <w:rFonts w:ascii="Arial" w:hAnsi="Arial" w:cs="Arial"/>
          <w:b/>
          <w:b/>
          <w:bCs/>
          <w:lang w:val="en-US"/>
        </w:rPr>
      </w:pPr>
      <w:r>
        <w:rPr>
          <w:rFonts w:cs="Arial" w:ascii="Arial" w:hAnsi="Arial"/>
          <w:b/>
          <w:bCs/>
          <w:lang w:val="en-US"/>
        </w:rPr>
      </w:r>
    </w:p>
    <w:p>
      <w:pPr>
        <w:pStyle w:val="Standard"/>
        <w:jc w:val="both"/>
        <w:rPr>
          <w:rFonts w:ascii="Arial" w:hAnsi="Arial" w:cs="Arial"/>
          <w:i/>
          <w:i/>
          <w:iCs/>
          <w:sz w:val="20"/>
          <w:szCs w:val="20"/>
          <w:lang w:val="en-US"/>
        </w:rPr>
      </w:pPr>
      <w:r>
        <w:rPr>
          <w:rFonts w:cs="Arial" w:ascii="Arial" w:hAnsi="Arial"/>
          <w:i/>
          <w:iCs/>
          <w:sz w:val="20"/>
          <w:szCs w:val="20"/>
          <w:lang w:val="en-US"/>
        </w:rPr>
      </w:r>
    </w:p>
    <w:p>
      <w:pPr>
        <w:pStyle w:val="Standard"/>
        <w:jc w:val="both"/>
        <w:rPr>
          <w:rFonts w:ascii="Arial" w:hAnsi="Arial" w:cs="Arial"/>
          <w:b/>
          <w:b/>
          <w:bCs/>
        </w:rPr>
      </w:pPr>
      <w:r>
        <w:rPr>
          <w:rFonts w:cs="Arial" w:ascii="Arial" w:hAnsi="Arial"/>
          <w:b/>
          <w:bCs/>
        </w:rPr>
        <w:t xml:space="preserve">UE 17 EC </w:t>
      </w:r>
      <w:r>
        <w:rPr>
          <w:rFonts w:cs="Arial" w:ascii="Arial" w:hAnsi="Arial"/>
          <w:b/>
          <w:bCs/>
          <w:lang w:val="fr-CA"/>
        </w:rPr>
        <w:t>Introduction à la problématique interculturelle – Mme Chalard-Fillaudeau</w:t>
      </w:r>
    </w:p>
    <w:p>
      <w:pPr>
        <w:pStyle w:val="Standard"/>
        <w:jc w:val="both"/>
        <w:rPr>
          <w:rFonts w:ascii="Arial" w:hAnsi="Arial" w:cs="Arial"/>
          <w:lang w:val="fr-CA"/>
        </w:rPr>
      </w:pPr>
      <w:r>
        <w:rPr>
          <w:rFonts w:cs="Arial" w:ascii="Arial" w:hAnsi="Arial"/>
          <w:lang w:val="fr-CA"/>
        </w:rPr>
      </w:r>
    </w:p>
    <w:p>
      <w:pPr>
        <w:pStyle w:val="Normal"/>
        <w:jc w:val="both"/>
        <w:rPr>
          <w:rFonts w:ascii="Arial" w:hAnsi="Arial" w:cs="Arial"/>
        </w:rPr>
      </w:pPr>
      <w:r>
        <w:rPr>
          <w:rFonts w:cs="Arial" w:ascii="Arial" w:hAnsi="Arial"/>
        </w:rPr>
        <w:t>Ce cours a pour objectif de compléter la formation linguistique de l’étudiant par une formation à l’interculturel, le sensibilisant aux différences culturelles dans les valeurs, croyances, représentations et mentalités. Le cours permet également d’acquérir une première compétence dans le management interculturel, qu’il s’agisse de recruter à l’international, de travailler à distance ou de négocier auprès d’une clientèle internationale. Il se compose d’un axe théorique sur les identités et les transferts culturels et d’un second axe d’ordre plus pratique (techniques de communication, ambivalences linguistiques, conseils pratiques, anticipation de problèmes et de conflits).</w:t>
      </w:r>
    </w:p>
    <w:p>
      <w:pPr>
        <w:pStyle w:val="Normal"/>
        <w:rPr/>
      </w:pPr>
      <w:r>
        <w:rPr/>
      </w:r>
    </w:p>
    <w:sectPr>
      <w:type w:val="nextPage"/>
      <w:pgSz w:orient="landscape" w:w="16838" w:h="11906"/>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LienInternet" w:customStyle="1">
    <w:name w:val="Hyperlink"/>
    <w:rsid w:val="00b14604"/>
    <w:rPr>
      <w:color w:val="000080"/>
      <w:u w:val="single"/>
    </w:rPr>
  </w:style>
  <w:style w:type="character" w:styleId="NotedebasdepageCar" w:customStyle="1">
    <w:name w:val="Note de bas de page Car"/>
    <w:basedOn w:val="DefaultParagraphFont"/>
    <w:qFormat/>
    <w:rsid w:val="00b14604"/>
    <w:rPr>
      <w:rFonts w:ascii="Arial" w:hAnsi="Arial" w:eastAsia="Noto Serif CJK SC" w:cs="Arial"/>
      <w:sz w:val="20"/>
      <w:szCs w:val="20"/>
      <w:lang w:val="es-ES" w:eastAsia="zh-CN" w:bidi="hi-IN"/>
      <w14:ligatures w14:val="non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b14604"/>
    <w:pPr>
      <w:widowControl/>
      <w:suppressAutoHyphens w:val="true"/>
      <w:bidi w:val="0"/>
      <w:spacing w:before="0" w:after="0"/>
      <w:jc w:val="left"/>
      <w:textAlignment w:val="baseline"/>
    </w:pPr>
    <w:rPr>
      <w:rFonts w:ascii="Times New Roman" w:hAnsi="Times New Roman" w:eastAsia="Calibri" w:cs="Times New Roman"/>
      <w:color w:val="000000"/>
      <w:kern w:val="0"/>
      <w:sz w:val="24"/>
      <w:szCs w:val="24"/>
      <w:lang w:val="fr-FR" w:eastAsia="en-US" w:bidi="ar-SA"/>
      <w14:ligatures w14:val="none"/>
    </w:rPr>
  </w:style>
  <w:style w:type="paragraph" w:styleId="Oxb0b4c42d84standarduser" w:customStyle="1">
    <w:name w:val="ox-b0b4c42d84-standarduser"/>
    <w:basedOn w:val="Normal"/>
    <w:qFormat/>
    <w:rsid w:val="00b14604"/>
    <w:pPr>
      <w:spacing w:beforeAutospacing="1" w:afterAutospacing="1"/>
    </w:pPr>
    <w:rPr>
      <w:rFonts w:ascii="Times New Roman" w:hAnsi="Times New Roman" w:eastAsia="Times New Roman" w:cs="Times New Roman"/>
      <w:kern w:val="0"/>
      <w:lang w:eastAsia="fr-FR"/>
      <w14:ligatures w14:val="none"/>
    </w:rPr>
  </w:style>
  <w:style w:type="paragraph" w:styleId="Standard" w:customStyle="1">
    <w:name w:val="Standard"/>
    <w:qFormat/>
    <w:rsid w:val="00b14604"/>
    <w:pPr>
      <w:widowControl w:val="false"/>
      <w:bidi w:val="0"/>
      <w:spacing w:before="0" w:after="0"/>
      <w:jc w:val="left"/>
    </w:pPr>
    <w:rPr>
      <w:rFonts w:ascii="Times New Roman" w:hAnsi="Times New Roman" w:eastAsia="SimSun" w:cs="Times New Roman"/>
      <w:color w:val="00000A"/>
      <w:kern w:val="0"/>
      <w:sz w:val="24"/>
      <w:szCs w:val="24"/>
      <w:lang w:eastAsia="zh-CN" w:val="fr-FR" w:bidi="ar-SA"/>
      <w14:ligatures w14:val="none"/>
    </w:rPr>
  </w:style>
  <w:style w:type="paragraph" w:styleId="Notedebasdepage">
    <w:name w:val="Footnote Text"/>
    <w:basedOn w:val="Normal"/>
    <w:link w:val="NotedebasdepageCar"/>
    <w:rsid w:val="00b14604"/>
    <w:pPr>
      <w:suppressLineNumbers/>
      <w:suppressAutoHyphens w:val="true"/>
      <w:ind w:left="339" w:hanging="339"/>
      <w:jc w:val="both"/>
    </w:pPr>
    <w:rPr>
      <w:rFonts w:ascii="Arial" w:hAnsi="Arial" w:eastAsia="Noto Serif CJK SC" w:cs="Arial"/>
      <w:sz w:val="20"/>
      <w:szCs w:val="20"/>
      <w:lang w:val="es-ES" w:eastAsia="zh-CN" w:bidi="hi-IN"/>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LibreOffice/7.4.7.2$Windows_X86_64 LibreOffice_project/723314e595e8007d3cf785c16538505a1c878ca5</Application>
  <AppVersion>15.0000</AppVersion>
  <Pages>5</Pages>
  <Words>1612</Words>
  <Characters>9472</Characters>
  <CharactersWithSpaces>11005</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2023-09-08T12:08:00Z</dcterms:created>
  <dc:creator>christine marguet</dc:creator>
  <dc:description/>
  <dc:language>fr-FR</dc:language>
  <cp:lastModifiedBy>christine marguet</cp:lastModifiedBy>
  <dcterms:modified xsi:type="dcterms:W3CDTF">2023-09-08T12:34:00Z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