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560" w:rsidRPr="00397A75" w:rsidRDefault="00365560" w:rsidP="00365560">
      <w:pPr>
        <w:jc w:val="both"/>
        <w:rPr>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6"/>
      </w:tblGrid>
      <w:tr w:rsidR="00365560" w:rsidRPr="00397A75" w:rsidTr="00D916EE">
        <w:tc>
          <w:tcPr>
            <w:tcW w:w="9288" w:type="dxa"/>
          </w:tcPr>
          <w:p w:rsidR="00365560" w:rsidRPr="00397A75" w:rsidRDefault="00365560" w:rsidP="00D916EE">
            <w:pPr>
              <w:jc w:val="center"/>
              <w:rPr>
                <w:sz w:val="20"/>
                <w:szCs w:val="20"/>
              </w:rPr>
            </w:pPr>
            <w:r w:rsidRPr="00397A75">
              <w:rPr>
                <w:sz w:val="20"/>
                <w:szCs w:val="20"/>
              </w:rPr>
              <w:t>M1-M2</w:t>
            </w:r>
          </w:p>
          <w:p w:rsidR="00365560" w:rsidRPr="00397A75" w:rsidRDefault="00365560" w:rsidP="00D916EE">
            <w:pPr>
              <w:rPr>
                <w:b/>
                <w:sz w:val="20"/>
                <w:szCs w:val="20"/>
              </w:rPr>
            </w:pPr>
          </w:p>
          <w:p w:rsidR="00365560" w:rsidRPr="00397A75" w:rsidRDefault="00365560" w:rsidP="00D916EE">
            <w:pPr>
              <w:jc w:val="center"/>
              <w:rPr>
                <w:b/>
                <w:sz w:val="20"/>
                <w:szCs w:val="20"/>
              </w:rPr>
            </w:pPr>
            <w:r w:rsidRPr="00397A75">
              <w:rPr>
                <w:b/>
                <w:sz w:val="20"/>
                <w:szCs w:val="20"/>
              </w:rPr>
              <w:t>Aire culturelle italienne</w:t>
            </w:r>
          </w:p>
          <w:p w:rsidR="00365560" w:rsidRPr="00397A75" w:rsidRDefault="00365560" w:rsidP="00D916EE">
            <w:pPr>
              <w:jc w:val="center"/>
              <w:rPr>
                <w:b/>
                <w:sz w:val="20"/>
                <w:szCs w:val="20"/>
              </w:rPr>
            </w:pPr>
          </w:p>
          <w:p w:rsidR="00365560" w:rsidRPr="00397A75" w:rsidRDefault="00365560" w:rsidP="00D916EE">
            <w:pPr>
              <w:jc w:val="both"/>
              <w:rPr>
                <w:b/>
                <w:sz w:val="20"/>
                <w:szCs w:val="20"/>
              </w:rPr>
            </w:pPr>
            <w:r w:rsidRPr="00397A75">
              <w:rPr>
                <w:b/>
                <w:sz w:val="20"/>
                <w:szCs w:val="20"/>
              </w:rPr>
              <w:t xml:space="preserve">De l’ennemi de la société à l’ennemi de l’Etat (droit et littérature,  XVIIIème-XXème siècles). </w:t>
            </w:r>
          </w:p>
          <w:p w:rsidR="00365560" w:rsidRPr="00397A75" w:rsidRDefault="00365560" w:rsidP="00D916EE">
            <w:pPr>
              <w:jc w:val="both"/>
              <w:rPr>
                <w:b/>
                <w:sz w:val="20"/>
                <w:szCs w:val="20"/>
              </w:rPr>
            </w:pPr>
          </w:p>
          <w:p w:rsidR="00365560" w:rsidRPr="00397A75" w:rsidRDefault="00365560" w:rsidP="00D916EE">
            <w:pPr>
              <w:jc w:val="center"/>
              <w:rPr>
                <w:b/>
                <w:sz w:val="20"/>
                <w:szCs w:val="20"/>
              </w:rPr>
            </w:pPr>
          </w:p>
          <w:p w:rsidR="00365560" w:rsidRPr="00397A75" w:rsidRDefault="00365560" w:rsidP="00D916EE">
            <w:pPr>
              <w:rPr>
                <w:sz w:val="20"/>
                <w:szCs w:val="20"/>
              </w:rPr>
            </w:pPr>
            <w:r w:rsidRPr="00397A75">
              <w:rPr>
                <w:sz w:val="20"/>
                <w:szCs w:val="20"/>
              </w:rPr>
              <w:t xml:space="preserve">Enseignant :  </w:t>
            </w:r>
          </w:p>
          <w:p w:rsidR="00365560" w:rsidRPr="00397A75" w:rsidRDefault="00365560" w:rsidP="00D916EE">
            <w:pPr>
              <w:rPr>
                <w:color w:val="000000"/>
                <w:sz w:val="20"/>
                <w:szCs w:val="20"/>
              </w:rPr>
            </w:pPr>
            <w:r w:rsidRPr="00397A75">
              <w:rPr>
                <w:color w:val="000000"/>
                <w:sz w:val="20"/>
                <w:szCs w:val="20"/>
              </w:rPr>
              <w:t xml:space="preserve">Xavier </w:t>
            </w:r>
            <w:r w:rsidRPr="00397A75">
              <w:rPr>
                <w:caps/>
                <w:color w:val="000000"/>
                <w:sz w:val="20"/>
                <w:szCs w:val="20"/>
              </w:rPr>
              <w:t>Tabet</w:t>
            </w:r>
            <w:r w:rsidRPr="00397A75">
              <w:rPr>
                <w:color w:val="000000"/>
                <w:sz w:val="20"/>
                <w:szCs w:val="20"/>
              </w:rPr>
              <w:t xml:space="preserve"> (PR au département d’études italiennes)</w:t>
            </w:r>
          </w:p>
          <w:p w:rsidR="00365560" w:rsidRPr="00397A75" w:rsidRDefault="00365560" w:rsidP="00D916EE">
            <w:pPr>
              <w:rPr>
                <w:sz w:val="20"/>
                <w:szCs w:val="20"/>
              </w:rPr>
            </w:pPr>
          </w:p>
          <w:p w:rsidR="00365560" w:rsidRPr="00185858" w:rsidRDefault="00365560" w:rsidP="00D916EE">
            <w:pPr>
              <w:jc w:val="both"/>
              <w:rPr>
                <w:b/>
                <w:sz w:val="20"/>
                <w:szCs w:val="20"/>
              </w:rPr>
            </w:pPr>
            <w:r w:rsidRPr="00397A75">
              <w:rPr>
                <w:b/>
                <w:sz w:val="20"/>
                <w:szCs w:val="20"/>
              </w:rPr>
              <w:t>Premier semestre 201</w:t>
            </w:r>
            <w:r>
              <w:rPr>
                <w:b/>
                <w:sz w:val="20"/>
                <w:szCs w:val="20"/>
              </w:rPr>
              <w:t>9</w:t>
            </w:r>
            <w:r w:rsidRPr="00397A75">
              <w:rPr>
                <w:b/>
                <w:sz w:val="20"/>
                <w:szCs w:val="20"/>
              </w:rPr>
              <w:t>-20</w:t>
            </w:r>
            <w:r>
              <w:rPr>
                <w:b/>
                <w:sz w:val="20"/>
                <w:szCs w:val="20"/>
              </w:rPr>
              <w:t>20</w:t>
            </w:r>
            <w:r w:rsidRPr="00397A75">
              <w:rPr>
                <w:b/>
                <w:sz w:val="20"/>
                <w:szCs w:val="20"/>
              </w:rPr>
              <w:t xml:space="preserve"> </w:t>
            </w:r>
            <w:r w:rsidRPr="00397A75">
              <w:rPr>
                <w:sz w:val="20"/>
                <w:szCs w:val="20"/>
              </w:rPr>
              <w:t xml:space="preserve">(cours ouvert aux étudiants de master IEE, et de L3/M1/M2 sciences po, Licence italien et Licence </w:t>
            </w:r>
            <w:proofErr w:type="spellStart"/>
            <w:r w:rsidRPr="00397A75">
              <w:rPr>
                <w:sz w:val="20"/>
                <w:szCs w:val="20"/>
              </w:rPr>
              <w:t>Lea</w:t>
            </w:r>
            <w:proofErr w:type="spellEnd"/>
            <w:r w:rsidRPr="00397A75">
              <w:rPr>
                <w:sz w:val="20"/>
                <w:szCs w:val="20"/>
              </w:rPr>
              <w:t xml:space="preserve">,  Erasmus Italie, </w:t>
            </w:r>
            <w:r w:rsidRPr="00397A75">
              <w:rPr>
                <w:b/>
                <w:color w:val="000000"/>
                <w:sz w:val="20"/>
                <w:szCs w:val="20"/>
              </w:rPr>
              <w:t>jeudi 15h-18h,</w:t>
            </w:r>
            <w:r>
              <w:rPr>
                <w:b/>
                <w:color w:val="000000"/>
                <w:sz w:val="20"/>
                <w:szCs w:val="20"/>
              </w:rPr>
              <w:t xml:space="preserve"> SALLE B 305</w:t>
            </w:r>
            <w:r w:rsidRPr="00397A75">
              <w:rPr>
                <w:b/>
                <w:color w:val="000000"/>
                <w:sz w:val="20"/>
                <w:szCs w:val="20"/>
              </w:rPr>
              <w:t xml:space="preserve"> Mail : </w:t>
            </w:r>
            <w:hyperlink r:id="rId4" w:history="1">
              <w:r w:rsidRPr="00397A75">
                <w:rPr>
                  <w:rStyle w:val="Lienhypertexte"/>
                  <w:b/>
                  <w:sz w:val="20"/>
                  <w:szCs w:val="20"/>
                </w:rPr>
                <w:t>xavier.tabet@wanadoo.fr</w:t>
              </w:r>
            </w:hyperlink>
            <w:r w:rsidRPr="00397A75">
              <w:rPr>
                <w:rStyle w:val="Lienhypertexte"/>
                <w:b/>
                <w:sz w:val="20"/>
                <w:szCs w:val="20"/>
              </w:rPr>
              <w:t xml:space="preserve">    </w:t>
            </w:r>
          </w:p>
        </w:tc>
      </w:tr>
    </w:tbl>
    <w:p w:rsidR="00365560" w:rsidRPr="00397A75" w:rsidRDefault="00365560" w:rsidP="00365560">
      <w:pPr>
        <w:rPr>
          <w:b/>
          <w:sz w:val="20"/>
          <w:szCs w:val="20"/>
        </w:rPr>
      </w:pPr>
    </w:p>
    <w:p w:rsidR="00365560" w:rsidRPr="00397A75" w:rsidRDefault="00365560" w:rsidP="00365560">
      <w:pPr>
        <w:rPr>
          <w:sz w:val="20"/>
          <w:szCs w:val="20"/>
        </w:rPr>
      </w:pPr>
      <w:r w:rsidRPr="00397A75">
        <w:rPr>
          <w:b/>
          <w:sz w:val="20"/>
          <w:szCs w:val="20"/>
        </w:rPr>
        <w:t xml:space="preserve">                                                                           </w:t>
      </w:r>
      <w:r w:rsidRPr="00397A75">
        <w:rPr>
          <w:sz w:val="20"/>
          <w:szCs w:val="20"/>
        </w:rPr>
        <w:t>Langue d’enseignement : français</w:t>
      </w:r>
    </w:p>
    <w:p w:rsidR="00365560" w:rsidRPr="00397A75" w:rsidRDefault="00365560" w:rsidP="00365560">
      <w:pPr>
        <w:jc w:val="right"/>
        <w:rPr>
          <w:sz w:val="20"/>
          <w:szCs w:val="20"/>
        </w:rPr>
      </w:pPr>
      <w:r w:rsidRPr="00397A75">
        <w:rPr>
          <w:sz w:val="20"/>
          <w:szCs w:val="20"/>
        </w:rPr>
        <w:t>Langue des textes étudiés : français</w:t>
      </w:r>
    </w:p>
    <w:p w:rsidR="00365560" w:rsidRPr="00397A75" w:rsidRDefault="00365560" w:rsidP="00365560">
      <w:pPr>
        <w:spacing w:line="240" w:lineRule="exact"/>
        <w:rPr>
          <w:b/>
          <w:sz w:val="20"/>
          <w:szCs w:val="20"/>
        </w:rPr>
      </w:pPr>
    </w:p>
    <w:p w:rsidR="00365560" w:rsidRPr="00397A75" w:rsidRDefault="00365560" w:rsidP="00365560">
      <w:pPr>
        <w:jc w:val="both"/>
        <w:rPr>
          <w:b/>
          <w:sz w:val="20"/>
          <w:szCs w:val="20"/>
        </w:rPr>
      </w:pPr>
    </w:p>
    <w:p w:rsidR="00365560" w:rsidRPr="00397A75" w:rsidRDefault="00365560" w:rsidP="00365560">
      <w:pPr>
        <w:jc w:val="both"/>
        <w:rPr>
          <w:sz w:val="20"/>
          <w:szCs w:val="20"/>
        </w:rPr>
      </w:pPr>
      <w:r w:rsidRPr="00397A75">
        <w:rPr>
          <w:sz w:val="20"/>
          <w:szCs w:val="20"/>
        </w:rPr>
        <w:t xml:space="preserve"> Le cours portera sur plusieurs figures juridiques, politiques et littéraires de « l’ennemi », à partir en particulier de ce laboratoire politique que représente l’Italie, des Lumières jusqu’au Fascisme. Au centre de notre parcours se situera l’évocation de « l’ennemi de l’Etat » dans le droit pénal du régime mussolinien, à partir des </w:t>
      </w:r>
      <w:proofErr w:type="spellStart"/>
      <w:r w:rsidRPr="00397A75">
        <w:rPr>
          <w:i/>
          <w:sz w:val="20"/>
          <w:szCs w:val="20"/>
        </w:rPr>
        <w:t>leggi</w:t>
      </w:r>
      <w:proofErr w:type="spellEnd"/>
      <w:r w:rsidRPr="00397A75">
        <w:rPr>
          <w:sz w:val="20"/>
          <w:szCs w:val="20"/>
        </w:rPr>
        <w:t xml:space="preserve"> </w:t>
      </w:r>
      <w:proofErr w:type="spellStart"/>
      <w:r w:rsidRPr="00397A75">
        <w:rPr>
          <w:i/>
          <w:sz w:val="20"/>
          <w:szCs w:val="20"/>
        </w:rPr>
        <w:t>fascistissime</w:t>
      </w:r>
      <w:proofErr w:type="spellEnd"/>
      <w:r w:rsidRPr="00397A75">
        <w:rPr>
          <w:i/>
          <w:sz w:val="20"/>
          <w:szCs w:val="20"/>
        </w:rPr>
        <w:t xml:space="preserve"> </w:t>
      </w:r>
      <w:r w:rsidRPr="00397A75">
        <w:rPr>
          <w:sz w:val="20"/>
          <w:szCs w:val="20"/>
        </w:rPr>
        <w:t xml:space="preserve">de 1925/1926. Si l’obsession, et l’absolutisation, de l’ennemi interne  est bien inhérente aux totalitarismes, le fait est cependant que ces </w:t>
      </w:r>
      <w:proofErr w:type="spellStart"/>
      <w:r w:rsidRPr="00397A75">
        <w:rPr>
          <w:sz w:val="20"/>
          <w:szCs w:val="20"/>
        </w:rPr>
        <w:t>regimes</w:t>
      </w:r>
      <w:proofErr w:type="spellEnd"/>
      <w:r w:rsidRPr="00397A75">
        <w:rPr>
          <w:sz w:val="20"/>
          <w:szCs w:val="20"/>
        </w:rPr>
        <w:t xml:space="preserve"> ont utilisé et étendu les mécanismes déjà présents dans la plupart des autres sociétés.  Le fait est aussi qu’ils ont, dans une large mesure, utilisé les idées et les procédés de notre rationalité politique.</w:t>
      </w:r>
    </w:p>
    <w:p w:rsidR="00365560" w:rsidRPr="00397A75" w:rsidRDefault="00365560" w:rsidP="00365560">
      <w:pPr>
        <w:jc w:val="both"/>
        <w:rPr>
          <w:sz w:val="20"/>
          <w:szCs w:val="20"/>
        </w:rPr>
      </w:pPr>
      <w:r w:rsidRPr="00397A75">
        <w:rPr>
          <w:sz w:val="20"/>
          <w:szCs w:val="20"/>
        </w:rPr>
        <w:t xml:space="preserve"> Avant l’époque du Fascisme, nous évoquerons ainsi la constitution « biologique » de la figure de l’ennemi de la société, à partir des théories autour du « criminel né » chez l’italien Cesare Lombroso (1835-1909), le père de l’anthropologie criminelle en Europe, à la fin du XIXème siècle, lorsque l’on est passé de la réflexion sur les </w:t>
      </w:r>
      <w:r w:rsidRPr="00397A75">
        <w:rPr>
          <w:i/>
          <w:sz w:val="20"/>
          <w:szCs w:val="20"/>
        </w:rPr>
        <w:t>Délits et les peines</w:t>
      </w:r>
      <w:r w:rsidRPr="00397A75">
        <w:rPr>
          <w:sz w:val="20"/>
          <w:szCs w:val="20"/>
        </w:rPr>
        <w:t xml:space="preserve"> (Beccaria, 1764)  à celle sur </w:t>
      </w:r>
      <w:r w:rsidRPr="00397A75">
        <w:rPr>
          <w:i/>
          <w:sz w:val="20"/>
          <w:szCs w:val="20"/>
        </w:rPr>
        <w:t>L’</w:t>
      </w:r>
      <w:proofErr w:type="spellStart"/>
      <w:r w:rsidRPr="00397A75">
        <w:rPr>
          <w:i/>
          <w:sz w:val="20"/>
          <w:szCs w:val="20"/>
        </w:rPr>
        <w:t>uomo</w:t>
      </w:r>
      <w:proofErr w:type="spellEnd"/>
      <w:r w:rsidRPr="00397A75">
        <w:rPr>
          <w:i/>
          <w:sz w:val="20"/>
          <w:szCs w:val="20"/>
        </w:rPr>
        <w:t xml:space="preserve"> </w:t>
      </w:r>
      <w:proofErr w:type="spellStart"/>
      <w:r w:rsidRPr="00397A75">
        <w:rPr>
          <w:i/>
          <w:sz w:val="20"/>
          <w:szCs w:val="20"/>
        </w:rPr>
        <w:t>delinquente</w:t>
      </w:r>
      <w:proofErr w:type="spellEnd"/>
      <w:r w:rsidRPr="00397A75">
        <w:rPr>
          <w:i/>
          <w:sz w:val="20"/>
          <w:szCs w:val="20"/>
        </w:rPr>
        <w:t xml:space="preserve"> </w:t>
      </w:r>
      <w:r w:rsidRPr="00397A75">
        <w:rPr>
          <w:sz w:val="20"/>
          <w:szCs w:val="20"/>
        </w:rPr>
        <w:t>(Lombroso, 1876).</w:t>
      </w:r>
    </w:p>
    <w:p w:rsidR="00365560" w:rsidRPr="00397A75" w:rsidRDefault="00365560" w:rsidP="00365560">
      <w:pPr>
        <w:jc w:val="both"/>
        <w:rPr>
          <w:sz w:val="20"/>
          <w:szCs w:val="20"/>
        </w:rPr>
      </w:pPr>
      <w:r w:rsidRPr="00397A75">
        <w:rPr>
          <w:sz w:val="20"/>
          <w:szCs w:val="20"/>
        </w:rPr>
        <w:t xml:space="preserve">   Enfin, en nous rapprochant en revanche de notre propre époque,  nous nous interrogerons sur la permanence et les transformations des figures de l’ennemi après 1945, lorsque se dessine une nouvelle figure : celle du criminel contre l’humanité  - voire « l’ennemi de l’humanité », selon les thèses de Carl Schmitt (1888-1985) -,  après le procès de Nuremberg qui fut à l’origine d’un droit pénal international et supra-étatique. Seront évoqués pour les années 1990 et 2000, par-delà le cadre italien, la nouvelle  guerre « globale » contre les terroristes islamiques, perçus comme les nouveaux ennemis de l’occident, et de ses valeurs. Seront présentés également certains débats contemporains, parfois inquiétants, autour de ce que l’on appelle aujourd’hui le droit pénal de l’ennemi, selon ceux qui estiment que la lutte contre le terrorisme, menée dans le cadre des lois d’exception et états d’urgence actuels,  doit amener à opérer la distinction entre un </w:t>
      </w:r>
      <w:r w:rsidRPr="00397A75">
        <w:rPr>
          <w:i/>
          <w:sz w:val="20"/>
          <w:szCs w:val="20"/>
        </w:rPr>
        <w:t xml:space="preserve">droit pénal du citoyen </w:t>
      </w:r>
      <w:r w:rsidRPr="00397A75">
        <w:rPr>
          <w:sz w:val="20"/>
          <w:szCs w:val="20"/>
        </w:rPr>
        <w:t xml:space="preserve">et un </w:t>
      </w:r>
      <w:r w:rsidRPr="00397A75">
        <w:rPr>
          <w:i/>
          <w:sz w:val="20"/>
          <w:szCs w:val="20"/>
        </w:rPr>
        <w:t>droit pénal de l’ennemi</w:t>
      </w:r>
      <w:r w:rsidRPr="00397A75">
        <w:rPr>
          <w:sz w:val="20"/>
          <w:szCs w:val="20"/>
        </w:rPr>
        <w:t>, justifiant des procédures extraordinaires, souvent attentatoires à l’état de droit.</w:t>
      </w:r>
    </w:p>
    <w:p w:rsidR="00365560" w:rsidRPr="00397A75" w:rsidRDefault="00365560" w:rsidP="00365560">
      <w:pPr>
        <w:jc w:val="both"/>
        <w:rPr>
          <w:sz w:val="20"/>
          <w:szCs w:val="20"/>
        </w:rPr>
      </w:pPr>
      <w:r w:rsidRPr="00397A75">
        <w:rPr>
          <w:sz w:val="20"/>
          <w:szCs w:val="20"/>
        </w:rPr>
        <w:t xml:space="preserve">   Interrogeant les permanences et transformations de la figure de l’ennemi aux XIXème et XXème siècles, à partir aussi ce que Michel Foucault appelle « la notion d’individu dangereux », la perspective du cours sera bien à la croisée du juridico-politique et du littéraire. Et l’on évoquera l’œuvre d’auteurs importants pour comprendre l’évolution des représentations modernes de la criminalité, comme Cesare Beccaria (1739-1794), Cesare Lombroso (1835-1909), Emile Zola (1840-1902), ou Primo Levi (1919-1987).</w:t>
      </w:r>
    </w:p>
    <w:p w:rsidR="00365560" w:rsidRPr="00397A75" w:rsidRDefault="00365560" w:rsidP="00365560">
      <w:pPr>
        <w:jc w:val="both"/>
        <w:rPr>
          <w:sz w:val="20"/>
          <w:szCs w:val="20"/>
        </w:rPr>
      </w:pPr>
    </w:p>
    <w:p w:rsidR="00365560" w:rsidRPr="00397A75" w:rsidRDefault="00365560" w:rsidP="00365560">
      <w:pPr>
        <w:jc w:val="both"/>
        <w:rPr>
          <w:sz w:val="20"/>
          <w:szCs w:val="20"/>
          <w:u w:val="single"/>
        </w:rPr>
      </w:pPr>
      <w:r w:rsidRPr="00397A75">
        <w:rPr>
          <w:sz w:val="20"/>
          <w:szCs w:val="20"/>
          <w:u w:val="single"/>
        </w:rPr>
        <w:t>Bibliographie indicative :</w:t>
      </w:r>
    </w:p>
    <w:p w:rsidR="00365560" w:rsidRPr="00397A75" w:rsidRDefault="00365560" w:rsidP="00365560">
      <w:pPr>
        <w:jc w:val="both"/>
        <w:rPr>
          <w:sz w:val="20"/>
          <w:szCs w:val="20"/>
        </w:rPr>
      </w:pPr>
    </w:p>
    <w:p w:rsidR="00365560" w:rsidRPr="00397A75" w:rsidRDefault="00365560" w:rsidP="00365560">
      <w:pPr>
        <w:jc w:val="both"/>
        <w:rPr>
          <w:sz w:val="20"/>
          <w:szCs w:val="20"/>
        </w:rPr>
      </w:pPr>
      <w:r w:rsidRPr="00397A75">
        <w:rPr>
          <w:sz w:val="20"/>
          <w:szCs w:val="20"/>
        </w:rPr>
        <w:t xml:space="preserve">Cesare Beccaria, </w:t>
      </w:r>
      <w:r w:rsidRPr="00397A75">
        <w:rPr>
          <w:i/>
          <w:sz w:val="20"/>
          <w:szCs w:val="20"/>
        </w:rPr>
        <w:t>Des délits et des peines</w:t>
      </w:r>
      <w:r w:rsidRPr="00397A75">
        <w:rPr>
          <w:sz w:val="20"/>
          <w:szCs w:val="20"/>
        </w:rPr>
        <w:t xml:space="preserve">, traduction et annotation par A. Fontana et X. </w:t>
      </w:r>
      <w:proofErr w:type="spellStart"/>
      <w:r w:rsidRPr="00397A75">
        <w:rPr>
          <w:sz w:val="20"/>
          <w:szCs w:val="20"/>
        </w:rPr>
        <w:t>Tabet</w:t>
      </w:r>
      <w:proofErr w:type="spellEnd"/>
      <w:r w:rsidRPr="00397A75">
        <w:rPr>
          <w:sz w:val="20"/>
          <w:szCs w:val="20"/>
        </w:rPr>
        <w:t>, Gallimard, Bibliothèque de Philosophie, 2015</w:t>
      </w:r>
    </w:p>
    <w:p w:rsidR="00365560" w:rsidRPr="00397A75" w:rsidRDefault="00365560" w:rsidP="00365560">
      <w:pPr>
        <w:jc w:val="both"/>
        <w:rPr>
          <w:sz w:val="20"/>
          <w:szCs w:val="20"/>
        </w:rPr>
      </w:pPr>
      <w:r w:rsidRPr="00397A75">
        <w:rPr>
          <w:sz w:val="20"/>
          <w:szCs w:val="20"/>
        </w:rPr>
        <w:t xml:space="preserve">Primo Levi, </w:t>
      </w:r>
      <w:r w:rsidRPr="00397A75">
        <w:rPr>
          <w:i/>
          <w:sz w:val="20"/>
          <w:szCs w:val="20"/>
        </w:rPr>
        <w:t>Si c’est un homme</w:t>
      </w:r>
      <w:r w:rsidRPr="00397A75">
        <w:rPr>
          <w:sz w:val="20"/>
          <w:szCs w:val="20"/>
        </w:rPr>
        <w:t>, 1947 (toute édition de poche convient)</w:t>
      </w:r>
    </w:p>
    <w:p w:rsidR="00365560" w:rsidRPr="00397A75" w:rsidRDefault="00365560" w:rsidP="00365560">
      <w:pPr>
        <w:jc w:val="both"/>
        <w:rPr>
          <w:sz w:val="20"/>
          <w:szCs w:val="20"/>
        </w:rPr>
      </w:pPr>
      <w:r w:rsidRPr="00397A75">
        <w:rPr>
          <w:sz w:val="20"/>
          <w:szCs w:val="20"/>
        </w:rPr>
        <w:t>Stephen Jay Gould</w:t>
      </w:r>
      <w:r w:rsidRPr="00397A75">
        <w:rPr>
          <w:i/>
          <w:sz w:val="20"/>
          <w:szCs w:val="20"/>
        </w:rPr>
        <w:t>, La mal-mesure de l’homme</w:t>
      </w:r>
      <w:r w:rsidRPr="00397A75">
        <w:rPr>
          <w:sz w:val="20"/>
          <w:szCs w:val="20"/>
        </w:rPr>
        <w:t>, Paris, Odile Jacob, 1997</w:t>
      </w:r>
    </w:p>
    <w:p w:rsidR="00365560" w:rsidRPr="00397A75" w:rsidRDefault="00365560" w:rsidP="00365560">
      <w:pPr>
        <w:jc w:val="both"/>
        <w:rPr>
          <w:sz w:val="20"/>
          <w:szCs w:val="20"/>
        </w:rPr>
      </w:pPr>
      <w:r w:rsidRPr="00397A75">
        <w:rPr>
          <w:sz w:val="20"/>
          <w:szCs w:val="20"/>
        </w:rPr>
        <w:t xml:space="preserve">Jean-Claude Monod, </w:t>
      </w:r>
      <w:r w:rsidRPr="00397A75">
        <w:rPr>
          <w:i/>
          <w:sz w:val="20"/>
          <w:szCs w:val="20"/>
        </w:rPr>
        <w:t>Penser l’ennemi, affronter l’exception</w:t>
      </w:r>
      <w:r w:rsidRPr="00397A75">
        <w:rPr>
          <w:sz w:val="20"/>
          <w:szCs w:val="20"/>
        </w:rPr>
        <w:t>, Paris, La Découverte, 2016</w:t>
      </w:r>
    </w:p>
    <w:p w:rsidR="00365560" w:rsidRPr="00397A75" w:rsidRDefault="00365560" w:rsidP="00365560">
      <w:pPr>
        <w:jc w:val="both"/>
        <w:rPr>
          <w:sz w:val="20"/>
          <w:szCs w:val="20"/>
        </w:rPr>
      </w:pPr>
      <w:r w:rsidRPr="00397A75">
        <w:rPr>
          <w:sz w:val="20"/>
          <w:szCs w:val="20"/>
        </w:rPr>
        <w:t xml:space="preserve">Emile Zola, </w:t>
      </w:r>
      <w:r w:rsidRPr="00397A75">
        <w:rPr>
          <w:i/>
          <w:sz w:val="20"/>
          <w:szCs w:val="20"/>
        </w:rPr>
        <w:t>La bête humaine</w:t>
      </w:r>
      <w:r w:rsidRPr="00397A75">
        <w:rPr>
          <w:sz w:val="20"/>
          <w:szCs w:val="20"/>
        </w:rPr>
        <w:t>, 1876 (toute édition de poche convient)</w:t>
      </w:r>
    </w:p>
    <w:p w:rsidR="00365560" w:rsidRPr="00397A75" w:rsidRDefault="00365560" w:rsidP="00365560">
      <w:pPr>
        <w:jc w:val="both"/>
        <w:rPr>
          <w:sz w:val="20"/>
          <w:szCs w:val="20"/>
        </w:rPr>
      </w:pPr>
    </w:p>
    <w:p w:rsidR="00365560" w:rsidRPr="00397A75" w:rsidRDefault="00365560" w:rsidP="00365560">
      <w:pPr>
        <w:jc w:val="both"/>
        <w:rPr>
          <w:i/>
          <w:sz w:val="20"/>
          <w:szCs w:val="20"/>
        </w:rPr>
      </w:pPr>
      <w:r w:rsidRPr="00397A75">
        <w:rPr>
          <w:i/>
          <w:sz w:val="20"/>
          <w:szCs w:val="20"/>
        </w:rPr>
        <w:t xml:space="preserve">Une bibliographie plus détaillée et des indications de lectures seront fournies aux étudiants lors du premier cours.   </w:t>
      </w:r>
    </w:p>
    <w:p w:rsidR="00365560" w:rsidRPr="00397A75" w:rsidRDefault="00365560" w:rsidP="00365560">
      <w:pPr>
        <w:jc w:val="both"/>
        <w:rPr>
          <w:sz w:val="20"/>
          <w:szCs w:val="20"/>
        </w:rPr>
      </w:pPr>
    </w:p>
    <w:p w:rsidR="00365560" w:rsidRDefault="00365560" w:rsidP="00365560">
      <w:pPr>
        <w:rPr>
          <w:i/>
          <w:sz w:val="20"/>
          <w:szCs w:val="20"/>
        </w:rPr>
      </w:pPr>
    </w:p>
    <w:p w:rsidR="00365560" w:rsidRDefault="00365560" w:rsidP="00365560">
      <w:pPr>
        <w:rPr>
          <w:sz w:val="20"/>
          <w:szCs w:val="20"/>
        </w:rPr>
      </w:pPr>
    </w:p>
    <w:p w:rsidR="00365560" w:rsidRDefault="00365560" w:rsidP="00365560">
      <w:pPr>
        <w:rPr>
          <w:sz w:val="20"/>
          <w:szCs w:val="20"/>
        </w:rPr>
      </w:pPr>
    </w:p>
    <w:p w:rsidR="00365560" w:rsidRPr="00397A75" w:rsidRDefault="00365560" w:rsidP="00365560">
      <w:pPr>
        <w:rPr>
          <w:sz w:val="20"/>
          <w:szCs w:val="20"/>
        </w:rPr>
      </w:pPr>
    </w:p>
    <w:p w:rsidR="00365560" w:rsidRPr="00A15E10" w:rsidRDefault="00365560" w:rsidP="00365560">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6"/>
      </w:tblGrid>
      <w:tr w:rsidR="00365560" w:rsidRPr="00A15E10" w:rsidTr="00D916EE">
        <w:tc>
          <w:tcPr>
            <w:tcW w:w="9288" w:type="dxa"/>
          </w:tcPr>
          <w:p w:rsidR="00365560" w:rsidRPr="00A15E10" w:rsidRDefault="00365560" w:rsidP="00D916EE">
            <w:pPr>
              <w:jc w:val="center"/>
              <w:rPr>
                <w:sz w:val="20"/>
                <w:szCs w:val="20"/>
              </w:rPr>
            </w:pPr>
            <w:r w:rsidRPr="00A15E10">
              <w:rPr>
                <w:sz w:val="20"/>
                <w:szCs w:val="20"/>
              </w:rPr>
              <w:t>M1-M2</w:t>
            </w:r>
          </w:p>
          <w:p w:rsidR="00365560" w:rsidRPr="00A15E10" w:rsidRDefault="00365560" w:rsidP="00D916EE">
            <w:pPr>
              <w:rPr>
                <w:b/>
                <w:sz w:val="20"/>
                <w:szCs w:val="20"/>
              </w:rPr>
            </w:pPr>
          </w:p>
          <w:p w:rsidR="00365560" w:rsidRPr="00A15E10" w:rsidRDefault="00365560" w:rsidP="00D916EE">
            <w:pPr>
              <w:jc w:val="center"/>
              <w:rPr>
                <w:b/>
                <w:sz w:val="20"/>
                <w:szCs w:val="20"/>
              </w:rPr>
            </w:pPr>
            <w:bookmarkStart w:id="0" w:name="_GoBack"/>
            <w:r w:rsidRPr="00A15E10">
              <w:rPr>
                <w:b/>
                <w:sz w:val="20"/>
                <w:szCs w:val="20"/>
              </w:rPr>
              <w:t>Aires culturelles :  Italie, Espagne, Portugal, Amérique latine</w:t>
            </w:r>
          </w:p>
          <w:bookmarkEnd w:id="0"/>
          <w:p w:rsidR="00365560" w:rsidRPr="00A15E10" w:rsidRDefault="00365560" w:rsidP="00D916EE">
            <w:pPr>
              <w:jc w:val="center"/>
              <w:rPr>
                <w:b/>
                <w:sz w:val="20"/>
                <w:szCs w:val="20"/>
              </w:rPr>
            </w:pPr>
          </w:p>
          <w:p w:rsidR="00365560" w:rsidRPr="00A15E10" w:rsidRDefault="00365560" w:rsidP="00D916EE">
            <w:pPr>
              <w:jc w:val="both"/>
              <w:rPr>
                <w:b/>
                <w:i/>
                <w:sz w:val="20"/>
                <w:szCs w:val="20"/>
              </w:rPr>
            </w:pPr>
            <w:r w:rsidRPr="00A15E10">
              <w:rPr>
                <w:rFonts w:cs="Helvetica"/>
                <w:b/>
                <w:i/>
                <w:sz w:val="20"/>
                <w:szCs w:val="20"/>
              </w:rPr>
              <w:t>Les dictatures: histoire politique, débats historiographiques, enjeux mémoriels (Italie, Espagne, Portugal, Amérique Latine,  XXème siècle)</w:t>
            </w:r>
          </w:p>
          <w:p w:rsidR="00365560" w:rsidRPr="00A15E10" w:rsidRDefault="00365560" w:rsidP="00D916EE">
            <w:pPr>
              <w:jc w:val="center"/>
              <w:rPr>
                <w:b/>
                <w:i/>
                <w:sz w:val="20"/>
                <w:szCs w:val="20"/>
              </w:rPr>
            </w:pPr>
          </w:p>
          <w:p w:rsidR="00365560" w:rsidRPr="00A15E10" w:rsidRDefault="00365560" w:rsidP="00D916EE">
            <w:pPr>
              <w:rPr>
                <w:sz w:val="20"/>
                <w:szCs w:val="20"/>
              </w:rPr>
            </w:pPr>
            <w:r w:rsidRPr="00A15E10">
              <w:rPr>
                <w:sz w:val="20"/>
                <w:szCs w:val="20"/>
              </w:rPr>
              <w:t>Enseignants </w:t>
            </w:r>
            <w:proofErr w:type="gramStart"/>
            <w:r w:rsidRPr="00A15E10">
              <w:rPr>
                <w:sz w:val="20"/>
                <w:szCs w:val="20"/>
              </w:rPr>
              <w:t>:  Cristina</w:t>
            </w:r>
            <w:proofErr w:type="gramEnd"/>
            <w:r w:rsidRPr="00A15E10">
              <w:rPr>
                <w:sz w:val="20"/>
                <w:szCs w:val="20"/>
              </w:rPr>
              <w:t xml:space="preserve"> </w:t>
            </w:r>
            <w:proofErr w:type="spellStart"/>
            <w:r w:rsidRPr="00A15E10">
              <w:rPr>
                <w:sz w:val="20"/>
                <w:szCs w:val="20"/>
              </w:rPr>
              <w:t>Climaco</w:t>
            </w:r>
            <w:proofErr w:type="spellEnd"/>
            <w:r w:rsidRPr="00A15E10">
              <w:rPr>
                <w:sz w:val="20"/>
                <w:szCs w:val="20"/>
              </w:rPr>
              <w:t xml:space="preserve"> (département de Portugais),  Françoise Martinez (département d’Espagnol),</w:t>
            </w:r>
            <w:r>
              <w:rPr>
                <w:sz w:val="20"/>
                <w:szCs w:val="20"/>
              </w:rPr>
              <w:t xml:space="preserve"> René-Marc Pille (département d’Allemand) ;</w:t>
            </w:r>
            <w:r w:rsidRPr="00A15E10">
              <w:rPr>
                <w:sz w:val="20"/>
                <w:szCs w:val="20"/>
              </w:rPr>
              <w:t xml:space="preserve"> Mercedes </w:t>
            </w:r>
            <w:proofErr w:type="spellStart"/>
            <w:r w:rsidRPr="00A15E10">
              <w:rPr>
                <w:sz w:val="20"/>
                <w:szCs w:val="20"/>
              </w:rPr>
              <w:t>Yusta</w:t>
            </w:r>
            <w:proofErr w:type="spellEnd"/>
            <w:r w:rsidRPr="00A15E10">
              <w:rPr>
                <w:sz w:val="20"/>
                <w:szCs w:val="20"/>
              </w:rPr>
              <w:t xml:space="preserve"> (département d’Espagnol) Xavier </w:t>
            </w:r>
            <w:proofErr w:type="spellStart"/>
            <w:r w:rsidRPr="00A15E10">
              <w:rPr>
                <w:sz w:val="20"/>
                <w:szCs w:val="20"/>
              </w:rPr>
              <w:t>Tabet</w:t>
            </w:r>
            <w:proofErr w:type="spellEnd"/>
            <w:r w:rsidRPr="00A15E10">
              <w:rPr>
                <w:sz w:val="20"/>
                <w:szCs w:val="20"/>
              </w:rPr>
              <w:t xml:space="preserve"> (département d’Italien)</w:t>
            </w:r>
          </w:p>
          <w:p w:rsidR="00365560" w:rsidRPr="00A15E10" w:rsidRDefault="00365560" w:rsidP="00D916EE">
            <w:pPr>
              <w:rPr>
                <w:sz w:val="20"/>
                <w:szCs w:val="20"/>
              </w:rPr>
            </w:pPr>
          </w:p>
          <w:p w:rsidR="00365560" w:rsidRPr="00A15E10" w:rsidRDefault="00365560" w:rsidP="00D916EE">
            <w:pPr>
              <w:jc w:val="both"/>
              <w:rPr>
                <w:rStyle w:val="Lienhypertexte"/>
                <w:b/>
                <w:sz w:val="20"/>
                <w:szCs w:val="20"/>
              </w:rPr>
            </w:pPr>
            <w:r w:rsidRPr="00A15E10">
              <w:rPr>
                <w:b/>
                <w:sz w:val="20"/>
                <w:szCs w:val="20"/>
              </w:rPr>
              <w:t>Premier semestre 201</w:t>
            </w:r>
            <w:r>
              <w:rPr>
                <w:b/>
                <w:sz w:val="20"/>
                <w:szCs w:val="20"/>
              </w:rPr>
              <w:t>9</w:t>
            </w:r>
            <w:r w:rsidRPr="00A15E10">
              <w:rPr>
                <w:b/>
                <w:sz w:val="20"/>
                <w:szCs w:val="20"/>
              </w:rPr>
              <w:t>-20</w:t>
            </w:r>
            <w:r>
              <w:rPr>
                <w:b/>
                <w:sz w:val="20"/>
                <w:szCs w:val="20"/>
              </w:rPr>
              <w:t>20</w:t>
            </w:r>
            <w:r w:rsidRPr="00A15E10">
              <w:rPr>
                <w:b/>
                <w:sz w:val="20"/>
                <w:szCs w:val="20"/>
              </w:rPr>
              <w:t xml:space="preserve"> </w:t>
            </w:r>
            <w:r w:rsidRPr="00A15E10">
              <w:rPr>
                <w:sz w:val="20"/>
                <w:szCs w:val="20"/>
              </w:rPr>
              <w:t xml:space="preserve">(cours ouvert aux étudiants de master Histoire, master IEE, master Sciences po, Erasmus), </w:t>
            </w:r>
            <w:r w:rsidRPr="00A15E10">
              <w:rPr>
                <w:b/>
                <w:sz w:val="20"/>
                <w:szCs w:val="20"/>
              </w:rPr>
              <w:t>mardi 15h-18h</w:t>
            </w:r>
            <w:r>
              <w:rPr>
                <w:b/>
                <w:sz w:val="20"/>
                <w:szCs w:val="20"/>
              </w:rPr>
              <w:t>, SALLE B 310</w:t>
            </w:r>
            <w:r w:rsidRPr="00A15E10">
              <w:rPr>
                <w:b/>
                <w:sz w:val="20"/>
                <w:szCs w:val="20"/>
              </w:rPr>
              <w:t xml:space="preserve">. Mail : </w:t>
            </w:r>
            <w:hyperlink r:id="rId5" w:history="1">
              <w:r w:rsidRPr="00A15E10">
                <w:rPr>
                  <w:rStyle w:val="Lienhypertexte"/>
                  <w:b/>
                  <w:sz w:val="20"/>
                  <w:szCs w:val="20"/>
                </w:rPr>
                <w:t>xavier.tabet@wanadoo.fr</w:t>
              </w:r>
            </w:hyperlink>
            <w:r>
              <w:rPr>
                <w:rStyle w:val="Lienhypertexte"/>
                <w:b/>
                <w:sz w:val="20"/>
                <w:szCs w:val="20"/>
              </w:rPr>
              <w:t xml:space="preserve"> </w:t>
            </w:r>
          </w:p>
          <w:p w:rsidR="00365560" w:rsidRPr="00A15E10" w:rsidRDefault="00365560" w:rsidP="00D916EE">
            <w:pPr>
              <w:jc w:val="both"/>
              <w:rPr>
                <w:b/>
                <w:sz w:val="20"/>
                <w:szCs w:val="20"/>
              </w:rPr>
            </w:pPr>
            <w:r>
              <w:rPr>
                <w:rStyle w:val="Lienhypertexte"/>
              </w:rPr>
              <w:t xml:space="preserve"> </w:t>
            </w:r>
          </w:p>
        </w:tc>
      </w:tr>
      <w:tr w:rsidR="00365560" w:rsidRPr="00A15E10" w:rsidTr="00D916EE">
        <w:tc>
          <w:tcPr>
            <w:tcW w:w="9288" w:type="dxa"/>
          </w:tcPr>
          <w:p w:rsidR="00365560" w:rsidRPr="00A15E10" w:rsidRDefault="00365560" w:rsidP="00D916EE">
            <w:pPr>
              <w:rPr>
                <w:sz w:val="20"/>
                <w:szCs w:val="20"/>
              </w:rPr>
            </w:pPr>
          </w:p>
        </w:tc>
      </w:tr>
    </w:tbl>
    <w:p w:rsidR="00365560" w:rsidRPr="00A15E10" w:rsidRDefault="00365560" w:rsidP="00365560">
      <w:pPr>
        <w:rPr>
          <w:b/>
          <w:sz w:val="20"/>
          <w:szCs w:val="20"/>
        </w:rPr>
      </w:pPr>
    </w:p>
    <w:p w:rsidR="00365560" w:rsidRPr="00A15E10" w:rsidRDefault="00365560" w:rsidP="00365560">
      <w:pPr>
        <w:rPr>
          <w:sz w:val="20"/>
          <w:szCs w:val="20"/>
        </w:rPr>
      </w:pPr>
      <w:r w:rsidRPr="00A15E10">
        <w:rPr>
          <w:b/>
          <w:sz w:val="20"/>
          <w:szCs w:val="20"/>
        </w:rPr>
        <w:t xml:space="preserve">                                                                           </w:t>
      </w:r>
      <w:r w:rsidRPr="00A15E10">
        <w:rPr>
          <w:sz w:val="20"/>
          <w:szCs w:val="20"/>
        </w:rPr>
        <w:t>Langue d’enseignement : français</w:t>
      </w:r>
    </w:p>
    <w:p w:rsidR="00365560" w:rsidRPr="00A15E10" w:rsidRDefault="00365560" w:rsidP="00365560">
      <w:pPr>
        <w:jc w:val="right"/>
        <w:rPr>
          <w:sz w:val="20"/>
          <w:szCs w:val="20"/>
        </w:rPr>
      </w:pPr>
      <w:r w:rsidRPr="00A15E10">
        <w:rPr>
          <w:sz w:val="20"/>
          <w:szCs w:val="20"/>
        </w:rPr>
        <w:t>Langue des textes étudiés : français</w:t>
      </w:r>
    </w:p>
    <w:p w:rsidR="00365560" w:rsidRPr="00A15E10" w:rsidRDefault="00365560" w:rsidP="00365560">
      <w:pPr>
        <w:spacing w:line="240" w:lineRule="exact"/>
        <w:rPr>
          <w:b/>
          <w:sz w:val="20"/>
          <w:szCs w:val="20"/>
        </w:rPr>
      </w:pPr>
    </w:p>
    <w:p w:rsidR="00365560" w:rsidRPr="00A15E10" w:rsidRDefault="00365560" w:rsidP="00365560">
      <w:pPr>
        <w:jc w:val="both"/>
        <w:rPr>
          <w:b/>
          <w:sz w:val="20"/>
          <w:szCs w:val="20"/>
        </w:rPr>
      </w:pPr>
    </w:p>
    <w:p w:rsidR="00365560" w:rsidRPr="00A15E10" w:rsidRDefault="00365560" w:rsidP="00365560">
      <w:pPr>
        <w:jc w:val="both"/>
        <w:rPr>
          <w:sz w:val="20"/>
          <w:szCs w:val="20"/>
        </w:rPr>
      </w:pPr>
      <w:r w:rsidRPr="00A15E10">
        <w:rPr>
          <w:rFonts w:cs="Helvetica"/>
          <w:sz w:val="20"/>
          <w:szCs w:val="20"/>
        </w:rPr>
        <w:t xml:space="preserve">  </w:t>
      </w:r>
      <w:r w:rsidRPr="00A15E10">
        <w:rPr>
          <w:sz w:val="20"/>
          <w:szCs w:val="20"/>
        </w:rPr>
        <w:t>Ce  cours collectif abordera la question de la  dictature à travers l’évocation de plusieurs régimes de la première moitié du XXème siècle, mais aussi de la seconde moitié. Seront ainsi évoqués, tour à tour, le fascisme italien, le franquisme espagnol, la salazarisme portugais, ainsi que les</w:t>
      </w:r>
      <w:r w:rsidRPr="00A15E10">
        <w:rPr>
          <w:rFonts w:cs="Helvetica"/>
          <w:sz w:val="20"/>
          <w:szCs w:val="20"/>
        </w:rPr>
        <w:t xml:space="preserve"> autoritarismes et dictatures militaires dans le cône sud (Argentine-Chili-Bolivie-Paraguay-Uruguay-Brésil), des années 60 aux années 80, jusqu’au retour aux démocraties.</w:t>
      </w:r>
      <w:r w:rsidRPr="00A15E10">
        <w:rPr>
          <w:sz w:val="20"/>
          <w:szCs w:val="20"/>
        </w:rPr>
        <w:t xml:space="preserve">   Chacune des parties du cours sera bien entendu précédée d’un exposé historique, avant d’en venir à la question des débats historiographiques, mais aussi politiques, relatifs à l’analyse et interprétation de chacun des régimes évoqués. </w:t>
      </w:r>
    </w:p>
    <w:p w:rsidR="00365560" w:rsidRPr="00A15E10" w:rsidRDefault="00365560" w:rsidP="00365560">
      <w:pPr>
        <w:jc w:val="both"/>
        <w:rPr>
          <w:sz w:val="20"/>
          <w:szCs w:val="20"/>
        </w:rPr>
      </w:pPr>
      <w:r w:rsidRPr="00A15E10">
        <w:rPr>
          <w:sz w:val="20"/>
          <w:szCs w:val="20"/>
        </w:rPr>
        <w:t xml:space="preserve"> Seront abordés également les débats mémoriels et les usages du passé relatifs à ces  expériences (lois mémorielles, révisionnismes, politiques des musées et célébrations nationales, procès pour génocide et crime contre l’humanité, etc.). Ces débats seront replacés dans le cadre de ce que l’on peut appeler un mouvement planétaire de réactivation du passé, qui est manifeste depuis la fin des années 1980 et le début des années 1990. Ce mouvement se traduit par des tentatives de redéfinition des caractères de la mémoire publique, et de substitution des anciens paradigmes, élaborés au lendemain de la seconde guerre mondiale, par de nouveaux usages du passé. </w:t>
      </w:r>
    </w:p>
    <w:p w:rsidR="00365560" w:rsidRPr="00A15E10" w:rsidRDefault="00365560" w:rsidP="00365560">
      <w:pPr>
        <w:jc w:val="both"/>
        <w:rPr>
          <w:rFonts w:cs="Helvetica"/>
          <w:sz w:val="20"/>
          <w:szCs w:val="20"/>
        </w:rPr>
      </w:pPr>
      <w:r w:rsidRPr="00A15E10">
        <w:rPr>
          <w:sz w:val="20"/>
          <w:szCs w:val="20"/>
        </w:rPr>
        <w:t xml:space="preserve">   Enfin, par-delà la question des enjeux politiques, historiographiques et mémoriels, </w:t>
      </w:r>
      <w:r w:rsidRPr="00A15E10">
        <w:rPr>
          <w:rFonts w:cs="Helvetica"/>
          <w:sz w:val="20"/>
          <w:szCs w:val="20"/>
        </w:rPr>
        <w:t xml:space="preserve">l'accent sera mis sur la question même des notions politiques (« césarisme », « autoritarisme », « fascisme », « totalitarisme », mais aussi « guerre civile » et  « résistance », ou encore, pour l’Amérique latine, « théologie de la libération »), sur la question de leurs définitions et frontières théoriques, ainsi que celle de l’histoire de leurs usages et circulations dans le débat public. </w:t>
      </w:r>
    </w:p>
    <w:p w:rsidR="00365560" w:rsidRPr="00A15E10" w:rsidRDefault="00365560" w:rsidP="00365560">
      <w:pPr>
        <w:jc w:val="both"/>
        <w:rPr>
          <w:rFonts w:cs="Helvetica"/>
          <w:sz w:val="20"/>
          <w:szCs w:val="20"/>
          <w:u w:val="single"/>
        </w:rPr>
      </w:pPr>
    </w:p>
    <w:p w:rsidR="00365560" w:rsidRPr="00A15E10" w:rsidRDefault="00365560" w:rsidP="00365560">
      <w:pPr>
        <w:jc w:val="both"/>
        <w:rPr>
          <w:b/>
          <w:sz w:val="20"/>
          <w:szCs w:val="20"/>
          <w:u w:val="single"/>
        </w:rPr>
      </w:pPr>
      <w:r w:rsidRPr="00A15E10">
        <w:rPr>
          <w:rFonts w:cs="Helvetica"/>
          <w:sz w:val="20"/>
          <w:szCs w:val="20"/>
          <w:u w:val="single"/>
        </w:rPr>
        <w:t>Bibliographie indicative :</w:t>
      </w:r>
    </w:p>
    <w:p w:rsidR="00365560" w:rsidRPr="00A15E10" w:rsidRDefault="00365560" w:rsidP="00365560">
      <w:pPr>
        <w:jc w:val="both"/>
        <w:rPr>
          <w:sz w:val="20"/>
          <w:szCs w:val="20"/>
        </w:rPr>
      </w:pPr>
      <w:r w:rsidRPr="00A15E10">
        <w:rPr>
          <w:sz w:val="20"/>
          <w:szCs w:val="20"/>
        </w:rPr>
        <w:t xml:space="preserve">  </w:t>
      </w:r>
    </w:p>
    <w:p w:rsidR="00365560" w:rsidRPr="00A15E10" w:rsidRDefault="00365560" w:rsidP="00365560">
      <w:pPr>
        <w:jc w:val="both"/>
        <w:rPr>
          <w:sz w:val="20"/>
          <w:szCs w:val="20"/>
          <w:u w:val="single"/>
        </w:rPr>
      </w:pPr>
      <w:r w:rsidRPr="00A15E10">
        <w:rPr>
          <w:sz w:val="20"/>
          <w:szCs w:val="20"/>
          <w:u w:val="single"/>
        </w:rPr>
        <w:t>Italie</w:t>
      </w:r>
    </w:p>
    <w:p w:rsidR="00365560" w:rsidRPr="00A15E10" w:rsidRDefault="00365560" w:rsidP="00365560">
      <w:pPr>
        <w:jc w:val="both"/>
        <w:rPr>
          <w:sz w:val="20"/>
          <w:szCs w:val="20"/>
        </w:rPr>
      </w:pPr>
      <w:r w:rsidRPr="00A15E10">
        <w:rPr>
          <w:sz w:val="20"/>
          <w:szCs w:val="20"/>
        </w:rPr>
        <w:t xml:space="preserve"> Emilio Gentile, </w:t>
      </w:r>
      <w:r w:rsidRPr="00A15E10">
        <w:rPr>
          <w:i/>
          <w:sz w:val="20"/>
          <w:szCs w:val="20"/>
        </w:rPr>
        <w:t>La religion fasciste. La sacralisation de la politique dans l’Italie fasciste</w:t>
      </w:r>
      <w:r w:rsidRPr="00A15E10">
        <w:rPr>
          <w:sz w:val="20"/>
          <w:szCs w:val="20"/>
        </w:rPr>
        <w:t>, 2002 (1993). Le chapitre IV : La liturgie de l’harmonie collective (p. 157-197), et/ou la Conclusion : Le fascisme et la sacralisation de la politique (p. 288-305).</w:t>
      </w:r>
    </w:p>
    <w:p w:rsidR="00365560" w:rsidRPr="00A15E10" w:rsidRDefault="00365560" w:rsidP="00365560">
      <w:pPr>
        <w:spacing w:beforeLines="1" w:before="2" w:afterLines="1" w:after="2"/>
        <w:jc w:val="both"/>
        <w:outlineLvl w:val="0"/>
        <w:rPr>
          <w:kern w:val="36"/>
          <w:sz w:val="20"/>
          <w:szCs w:val="20"/>
        </w:rPr>
      </w:pPr>
      <w:r w:rsidRPr="00A15E10">
        <w:rPr>
          <w:kern w:val="36"/>
          <w:sz w:val="20"/>
          <w:szCs w:val="20"/>
        </w:rPr>
        <w:t xml:space="preserve">Emilio Gentile, </w:t>
      </w:r>
      <w:r w:rsidRPr="00A15E10">
        <w:rPr>
          <w:i/>
          <w:kern w:val="36"/>
          <w:sz w:val="20"/>
          <w:szCs w:val="20"/>
        </w:rPr>
        <w:t>Qu'est-ce que le fascisme ? Problèmes et perspectives d'interprétation</w:t>
      </w:r>
      <w:r w:rsidRPr="00A15E10">
        <w:rPr>
          <w:kern w:val="36"/>
          <w:sz w:val="20"/>
          <w:szCs w:val="20"/>
        </w:rPr>
        <w:t>, 2004 (2002). Le chapitre X : « L’homme nouveau » du fascisme, et/ ou le chapitre XI : La modernité totalitaire. Pages non indiquées.</w:t>
      </w:r>
    </w:p>
    <w:p w:rsidR="00365560" w:rsidRPr="00A15E10" w:rsidRDefault="00365560" w:rsidP="00365560">
      <w:pPr>
        <w:jc w:val="both"/>
        <w:rPr>
          <w:sz w:val="20"/>
          <w:szCs w:val="20"/>
        </w:rPr>
      </w:pPr>
      <w:proofErr w:type="gramStart"/>
      <w:r w:rsidRPr="00A15E10">
        <w:rPr>
          <w:sz w:val="20"/>
          <w:szCs w:val="20"/>
        </w:rPr>
        <w:t>E .</w:t>
      </w:r>
      <w:proofErr w:type="gramEnd"/>
      <w:r w:rsidRPr="00A15E10">
        <w:rPr>
          <w:sz w:val="20"/>
          <w:szCs w:val="20"/>
        </w:rPr>
        <w:t xml:space="preserve"> </w:t>
      </w:r>
      <w:proofErr w:type="spellStart"/>
      <w:r w:rsidRPr="00A15E10">
        <w:rPr>
          <w:sz w:val="20"/>
          <w:szCs w:val="20"/>
        </w:rPr>
        <w:t>Traverso</w:t>
      </w:r>
      <w:proofErr w:type="spellEnd"/>
      <w:r w:rsidRPr="00A15E10">
        <w:rPr>
          <w:sz w:val="20"/>
          <w:szCs w:val="20"/>
        </w:rPr>
        <w:t xml:space="preserve">, </w:t>
      </w:r>
      <w:r w:rsidRPr="00A15E10">
        <w:rPr>
          <w:i/>
          <w:sz w:val="20"/>
          <w:szCs w:val="20"/>
        </w:rPr>
        <w:t>Interpréter les violences du XXème siècle</w:t>
      </w:r>
      <w:r w:rsidRPr="00A15E10">
        <w:rPr>
          <w:sz w:val="20"/>
          <w:szCs w:val="20"/>
        </w:rPr>
        <w:t xml:space="preserve">, 2011 (le chapitre 3 : « Fascisme. Sur G. L. </w:t>
      </w:r>
      <w:proofErr w:type="spellStart"/>
      <w:r w:rsidRPr="00A15E10">
        <w:rPr>
          <w:sz w:val="20"/>
          <w:szCs w:val="20"/>
        </w:rPr>
        <w:t>Mosse</w:t>
      </w:r>
      <w:proofErr w:type="spellEnd"/>
      <w:r w:rsidRPr="00A15E10">
        <w:rPr>
          <w:sz w:val="20"/>
          <w:szCs w:val="20"/>
        </w:rPr>
        <w:t xml:space="preserve">, Z. </w:t>
      </w:r>
      <w:proofErr w:type="spellStart"/>
      <w:r w:rsidRPr="00A15E10">
        <w:rPr>
          <w:sz w:val="20"/>
          <w:szCs w:val="20"/>
        </w:rPr>
        <w:t>Sternhell</w:t>
      </w:r>
      <w:proofErr w:type="spellEnd"/>
      <w:r w:rsidRPr="00A15E10">
        <w:rPr>
          <w:sz w:val="20"/>
          <w:szCs w:val="20"/>
        </w:rPr>
        <w:t xml:space="preserve"> et E. Gentile », p. 91-127).</w:t>
      </w:r>
    </w:p>
    <w:p w:rsidR="00365560" w:rsidRPr="00A15E10" w:rsidRDefault="00365560" w:rsidP="00365560">
      <w:pPr>
        <w:rPr>
          <w:sz w:val="20"/>
          <w:szCs w:val="20"/>
        </w:rPr>
      </w:pPr>
    </w:p>
    <w:p w:rsidR="00365560" w:rsidRPr="00A15E10" w:rsidRDefault="00365560" w:rsidP="00365560">
      <w:pPr>
        <w:rPr>
          <w:sz w:val="20"/>
          <w:szCs w:val="20"/>
          <w:u w:val="single"/>
        </w:rPr>
      </w:pPr>
      <w:r w:rsidRPr="00A15E10">
        <w:rPr>
          <w:sz w:val="20"/>
          <w:szCs w:val="20"/>
          <w:u w:val="single"/>
        </w:rPr>
        <w:t>Espagne</w:t>
      </w:r>
    </w:p>
    <w:p w:rsidR="00365560" w:rsidRPr="00A15E10" w:rsidRDefault="00365560" w:rsidP="00365560">
      <w:pPr>
        <w:widowControl w:val="0"/>
        <w:autoSpaceDE w:val="0"/>
        <w:autoSpaceDN w:val="0"/>
        <w:adjustRightInd w:val="0"/>
        <w:rPr>
          <w:rFonts w:eastAsiaTheme="minorHAnsi" w:cs="Helvetica"/>
          <w:sz w:val="20"/>
          <w:szCs w:val="20"/>
          <w:lang w:eastAsia="en-US"/>
        </w:rPr>
      </w:pPr>
      <w:r w:rsidRPr="00A15E10">
        <w:rPr>
          <w:rFonts w:eastAsiaTheme="minorHAnsi" w:cs="Helvetica"/>
          <w:sz w:val="20"/>
          <w:szCs w:val="20"/>
          <w:lang w:eastAsia="en-US"/>
        </w:rPr>
        <w:t>« Histoire et conflits de mémoire en Espagne », dossier de Vingtième siècle : Revue d’histoire, n° 127, 2015.</w:t>
      </w:r>
    </w:p>
    <w:p w:rsidR="00365560" w:rsidRPr="00A15E10" w:rsidRDefault="00365560" w:rsidP="00365560">
      <w:pPr>
        <w:widowControl w:val="0"/>
        <w:autoSpaceDE w:val="0"/>
        <w:autoSpaceDN w:val="0"/>
        <w:adjustRightInd w:val="0"/>
        <w:rPr>
          <w:rFonts w:eastAsiaTheme="minorHAnsi" w:cs="Helvetica"/>
          <w:sz w:val="20"/>
          <w:szCs w:val="20"/>
          <w:lang w:val="en-US" w:eastAsia="en-US"/>
        </w:rPr>
      </w:pPr>
      <w:r w:rsidRPr="00A15E10">
        <w:rPr>
          <w:rFonts w:eastAsiaTheme="minorHAnsi" w:cs="Helvetica"/>
          <w:sz w:val="20"/>
          <w:szCs w:val="20"/>
          <w:lang w:val="en-US" w:eastAsia="en-US"/>
        </w:rPr>
        <w:t xml:space="preserve">Michael Richards, After the civil </w:t>
      </w:r>
      <w:proofErr w:type="gramStart"/>
      <w:r w:rsidRPr="00A15E10">
        <w:rPr>
          <w:rFonts w:eastAsiaTheme="minorHAnsi" w:cs="Helvetica"/>
          <w:sz w:val="20"/>
          <w:szCs w:val="20"/>
          <w:lang w:val="en-US" w:eastAsia="en-US"/>
        </w:rPr>
        <w:t>war :</w:t>
      </w:r>
      <w:proofErr w:type="gramEnd"/>
      <w:r w:rsidRPr="00A15E10">
        <w:rPr>
          <w:rFonts w:eastAsiaTheme="minorHAnsi" w:cs="Helvetica"/>
          <w:sz w:val="20"/>
          <w:szCs w:val="20"/>
          <w:lang w:val="en-US" w:eastAsia="en-US"/>
        </w:rPr>
        <w:t xml:space="preserve"> making memory and re-making Spain since 1936, </w:t>
      </w:r>
      <w:proofErr w:type="spellStart"/>
      <w:r w:rsidRPr="00A15E10">
        <w:rPr>
          <w:rFonts w:eastAsiaTheme="minorHAnsi" w:cs="Helvetica"/>
          <w:sz w:val="20"/>
          <w:szCs w:val="20"/>
          <w:lang w:val="en-US" w:eastAsia="en-US"/>
        </w:rPr>
        <w:t>Cambrigne</w:t>
      </w:r>
      <w:proofErr w:type="spellEnd"/>
      <w:r w:rsidRPr="00A15E10">
        <w:rPr>
          <w:rFonts w:eastAsiaTheme="minorHAnsi" w:cs="Helvetica"/>
          <w:sz w:val="20"/>
          <w:szCs w:val="20"/>
          <w:lang w:val="en-US" w:eastAsia="en-US"/>
        </w:rPr>
        <w:t>: Cambridge University Press, 2013.</w:t>
      </w:r>
    </w:p>
    <w:p w:rsidR="00365560" w:rsidRPr="00A15E10" w:rsidRDefault="00365560" w:rsidP="00365560">
      <w:pPr>
        <w:widowControl w:val="0"/>
        <w:autoSpaceDE w:val="0"/>
        <w:autoSpaceDN w:val="0"/>
        <w:adjustRightInd w:val="0"/>
        <w:rPr>
          <w:rFonts w:eastAsiaTheme="minorHAnsi" w:cs="Helvetica"/>
          <w:sz w:val="20"/>
          <w:szCs w:val="20"/>
          <w:lang w:eastAsia="en-US"/>
        </w:rPr>
      </w:pPr>
      <w:r w:rsidRPr="00A15E10">
        <w:rPr>
          <w:rFonts w:eastAsiaTheme="minorHAnsi" w:cs="Helvetica"/>
          <w:sz w:val="20"/>
          <w:szCs w:val="20"/>
          <w:lang w:eastAsia="en-US"/>
        </w:rPr>
        <w:t xml:space="preserve">Emilio Silva et Santiago </w:t>
      </w:r>
      <w:proofErr w:type="spellStart"/>
      <w:r w:rsidRPr="00A15E10">
        <w:rPr>
          <w:rFonts w:eastAsiaTheme="minorHAnsi" w:cs="Helvetica"/>
          <w:sz w:val="20"/>
          <w:szCs w:val="20"/>
          <w:lang w:eastAsia="en-US"/>
        </w:rPr>
        <w:t>Macias</w:t>
      </w:r>
      <w:proofErr w:type="spellEnd"/>
      <w:r w:rsidRPr="00A15E10">
        <w:rPr>
          <w:rFonts w:eastAsiaTheme="minorHAnsi" w:cs="Helvetica"/>
          <w:sz w:val="20"/>
          <w:szCs w:val="20"/>
          <w:lang w:eastAsia="en-US"/>
        </w:rPr>
        <w:t>, Les fosses du franquisme, Paris : Calmann-Lévy, 2005.</w:t>
      </w:r>
    </w:p>
    <w:p w:rsidR="00365560" w:rsidRPr="00A15E10" w:rsidRDefault="00365560" w:rsidP="00365560">
      <w:pPr>
        <w:rPr>
          <w:sz w:val="20"/>
          <w:szCs w:val="20"/>
        </w:rPr>
      </w:pPr>
    </w:p>
    <w:p w:rsidR="00365560" w:rsidRPr="00A15E10" w:rsidRDefault="00365560" w:rsidP="00365560">
      <w:pPr>
        <w:jc w:val="both"/>
        <w:rPr>
          <w:sz w:val="20"/>
          <w:szCs w:val="20"/>
          <w:u w:val="single"/>
        </w:rPr>
      </w:pPr>
      <w:r w:rsidRPr="00A15E10">
        <w:rPr>
          <w:sz w:val="20"/>
          <w:szCs w:val="20"/>
          <w:u w:val="single"/>
        </w:rPr>
        <w:t>Portugal</w:t>
      </w:r>
    </w:p>
    <w:p w:rsidR="00365560" w:rsidRPr="00A15E10" w:rsidRDefault="00365560" w:rsidP="00365560">
      <w:pPr>
        <w:widowControl w:val="0"/>
        <w:autoSpaceDE w:val="0"/>
        <w:autoSpaceDN w:val="0"/>
        <w:adjustRightInd w:val="0"/>
        <w:jc w:val="both"/>
        <w:rPr>
          <w:rFonts w:eastAsiaTheme="minorHAnsi" w:cs="Helvetica"/>
          <w:sz w:val="20"/>
          <w:szCs w:val="20"/>
          <w:lang w:eastAsia="en-US"/>
        </w:rPr>
      </w:pPr>
      <w:r w:rsidRPr="00A15E10">
        <w:rPr>
          <w:rFonts w:eastAsiaTheme="minorHAnsi" w:cs="Helvetica"/>
          <w:sz w:val="20"/>
          <w:szCs w:val="20"/>
          <w:lang w:eastAsia="en-US"/>
        </w:rPr>
        <w:t>Léonard Yves, </w:t>
      </w:r>
      <w:r w:rsidRPr="00A15E10">
        <w:rPr>
          <w:rFonts w:eastAsiaTheme="minorHAnsi" w:cs="Helvetica"/>
          <w:i/>
          <w:iCs/>
          <w:sz w:val="20"/>
          <w:szCs w:val="20"/>
          <w:lang w:eastAsia="en-US"/>
        </w:rPr>
        <w:t>Salazarisme et Fascisme</w:t>
      </w:r>
      <w:r w:rsidRPr="00A15E10">
        <w:rPr>
          <w:rFonts w:eastAsiaTheme="minorHAnsi" w:cs="Helvetica"/>
          <w:sz w:val="20"/>
          <w:szCs w:val="20"/>
          <w:lang w:eastAsia="en-US"/>
        </w:rPr>
        <w:t xml:space="preserve">, Edition </w:t>
      </w:r>
      <w:proofErr w:type="spellStart"/>
      <w:r w:rsidRPr="00A15E10">
        <w:rPr>
          <w:rFonts w:eastAsiaTheme="minorHAnsi" w:cs="Helvetica"/>
          <w:sz w:val="20"/>
          <w:szCs w:val="20"/>
          <w:lang w:eastAsia="en-US"/>
        </w:rPr>
        <w:t>Chandeigne</w:t>
      </w:r>
      <w:proofErr w:type="spellEnd"/>
      <w:r w:rsidRPr="00A15E10">
        <w:rPr>
          <w:rFonts w:eastAsiaTheme="minorHAnsi" w:cs="Helvetica"/>
          <w:sz w:val="20"/>
          <w:szCs w:val="20"/>
          <w:lang w:eastAsia="en-US"/>
        </w:rPr>
        <w:t>, 1996.</w:t>
      </w:r>
    </w:p>
    <w:p w:rsidR="00365560" w:rsidRPr="00A15E10" w:rsidRDefault="00365560" w:rsidP="00365560">
      <w:pPr>
        <w:widowControl w:val="0"/>
        <w:autoSpaceDE w:val="0"/>
        <w:autoSpaceDN w:val="0"/>
        <w:adjustRightInd w:val="0"/>
        <w:jc w:val="both"/>
        <w:rPr>
          <w:rFonts w:eastAsiaTheme="minorHAnsi" w:cs="Helvetica"/>
          <w:sz w:val="20"/>
          <w:szCs w:val="20"/>
          <w:lang w:eastAsia="en-US"/>
        </w:rPr>
      </w:pPr>
      <w:r w:rsidRPr="00A15E10">
        <w:rPr>
          <w:rFonts w:eastAsiaTheme="minorHAnsi" w:cs="Helvetica"/>
          <w:sz w:val="20"/>
          <w:szCs w:val="20"/>
          <w:lang w:eastAsia="en-US"/>
        </w:rPr>
        <w:t>Pinto Antonio Costa. « Le </w:t>
      </w:r>
      <w:proofErr w:type="spellStart"/>
      <w:r w:rsidRPr="00A15E10">
        <w:rPr>
          <w:rFonts w:eastAsiaTheme="minorHAnsi" w:cs="Helvetica"/>
          <w:sz w:val="20"/>
          <w:szCs w:val="20"/>
          <w:lang w:eastAsia="en-US"/>
        </w:rPr>
        <w:t>salazaîisme</w:t>
      </w:r>
      <w:proofErr w:type="spellEnd"/>
      <w:r w:rsidRPr="00A15E10">
        <w:rPr>
          <w:rFonts w:eastAsiaTheme="minorHAnsi" w:cs="Helvetica"/>
          <w:sz w:val="20"/>
          <w:szCs w:val="20"/>
          <w:lang w:eastAsia="en-US"/>
        </w:rPr>
        <w:t> et le fascisme européen", </w:t>
      </w:r>
      <w:r w:rsidRPr="00A15E10">
        <w:rPr>
          <w:rFonts w:eastAsiaTheme="minorHAnsi" w:cs="Helvetica"/>
          <w:i/>
          <w:iCs/>
          <w:sz w:val="20"/>
          <w:szCs w:val="20"/>
          <w:lang w:eastAsia="en-US"/>
        </w:rPr>
        <w:t>Vingtième Siècle, revue d'histoire</w:t>
      </w:r>
      <w:r w:rsidRPr="00A15E10">
        <w:rPr>
          <w:rFonts w:eastAsiaTheme="minorHAnsi" w:cs="Helvetica"/>
          <w:sz w:val="20"/>
          <w:szCs w:val="20"/>
          <w:lang w:eastAsia="en-US"/>
        </w:rPr>
        <w:t>, n°62, avril-</w:t>
      </w:r>
      <w:r w:rsidRPr="00A15E10">
        <w:rPr>
          <w:rFonts w:eastAsiaTheme="minorHAnsi" w:cs="Helvetica"/>
          <w:sz w:val="20"/>
          <w:szCs w:val="20"/>
          <w:lang w:eastAsia="en-US"/>
        </w:rPr>
        <w:lastRenderedPageBreak/>
        <w:t>juin 1999. Dossier : Le salazarisme. pp. 15-25.</w:t>
      </w:r>
    </w:p>
    <w:p w:rsidR="00365560" w:rsidRPr="00A15E10" w:rsidRDefault="00365560" w:rsidP="00365560">
      <w:pPr>
        <w:widowControl w:val="0"/>
        <w:autoSpaceDE w:val="0"/>
        <w:autoSpaceDN w:val="0"/>
        <w:adjustRightInd w:val="0"/>
        <w:jc w:val="both"/>
        <w:rPr>
          <w:rFonts w:eastAsiaTheme="minorHAnsi" w:cs="Helvetica"/>
          <w:sz w:val="20"/>
          <w:szCs w:val="20"/>
          <w:lang w:val="en-US" w:eastAsia="en-US"/>
        </w:rPr>
      </w:pPr>
      <w:r w:rsidRPr="00A15E10">
        <w:rPr>
          <w:rFonts w:eastAsiaTheme="minorHAnsi" w:cs="Helvetica"/>
          <w:sz w:val="20"/>
          <w:szCs w:val="20"/>
          <w:lang w:eastAsia="en-US"/>
        </w:rPr>
        <w:t xml:space="preserve">Reis </w:t>
      </w:r>
      <w:proofErr w:type="spellStart"/>
      <w:r w:rsidRPr="00A15E10">
        <w:rPr>
          <w:rFonts w:eastAsiaTheme="minorHAnsi" w:cs="Helvetica"/>
          <w:sz w:val="20"/>
          <w:szCs w:val="20"/>
          <w:lang w:eastAsia="en-US"/>
        </w:rPr>
        <w:t>Torgal</w:t>
      </w:r>
      <w:proofErr w:type="spellEnd"/>
      <w:r w:rsidRPr="00A15E10">
        <w:rPr>
          <w:rFonts w:eastAsiaTheme="minorHAnsi" w:cs="Helvetica"/>
          <w:sz w:val="20"/>
          <w:szCs w:val="20"/>
          <w:lang w:eastAsia="en-US"/>
        </w:rPr>
        <w:t xml:space="preserve"> </w:t>
      </w:r>
      <w:proofErr w:type="spellStart"/>
      <w:r w:rsidRPr="00A15E10">
        <w:rPr>
          <w:rFonts w:eastAsiaTheme="minorHAnsi" w:cs="Helvetica"/>
          <w:sz w:val="20"/>
          <w:szCs w:val="20"/>
          <w:lang w:eastAsia="en-US"/>
        </w:rPr>
        <w:t>Luís</w:t>
      </w:r>
      <w:proofErr w:type="spellEnd"/>
      <w:r w:rsidRPr="00A15E10">
        <w:rPr>
          <w:rFonts w:eastAsiaTheme="minorHAnsi" w:cs="Helvetica"/>
          <w:sz w:val="20"/>
          <w:szCs w:val="20"/>
          <w:lang w:eastAsia="en-US"/>
        </w:rPr>
        <w:t>, « L'État Nouveau portugais. Esquisse d'interprétation », </w:t>
      </w:r>
      <w:r w:rsidRPr="00A15E10">
        <w:rPr>
          <w:rFonts w:eastAsiaTheme="minorHAnsi" w:cs="Helvetica"/>
          <w:i/>
          <w:iCs/>
          <w:sz w:val="20"/>
          <w:szCs w:val="20"/>
          <w:lang w:eastAsia="en-US"/>
        </w:rPr>
        <w:t>Pôle Sud</w:t>
      </w:r>
      <w:r w:rsidRPr="00A15E10">
        <w:rPr>
          <w:rFonts w:eastAsiaTheme="minorHAnsi" w:cs="Helvetica"/>
          <w:sz w:val="20"/>
          <w:szCs w:val="20"/>
          <w:lang w:eastAsia="en-US"/>
        </w:rPr>
        <w:t xml:space="preserve">, 2005/1 (n° 22), p. 39-48. </w:t>
      </w:r>
      <w:proofErr w:type="gramStart"/>
      <w:r w:rsidRPr="00A15E10">
        <w:rPr>
          <w:rFonts w:eastAsiaTheme="minorHAnsi" w:cs="Helvetica"/>
          <w:sz w:val="20"/>
          <w:szCs w:val="20"/>
          <w:lang w:val="en-US" w:eastAsia="en-US"/>
        </w:rPr>
        <w:t>URL :</w:t>
      </w:r>
      <w:proofErr w:type="gramEnd"/>
      <w:r w:rsidRPr="00A15E10">
        <w:rPr>
          <w:rFonts w:eastAsiaTheme="minorHAnsi" w:cs="Helvetica"/>
          <w:sz w:val="20"/>
          <w:szCs w:val="20"/>
          <w:lang w:val="en-US" w:eastAsia="en-US"/>
        </w:rPr>
        <w:t> </w:t>
      </w:r>
      <w:hyperlink r:id="rId6" w:history="1">
        <w:r w:rsidRPr="00A15E10">
          <w:rPr>
            <w:rFonts w:eastAsiaTheme="minorHAnsi" w:cs="Helvetica"/>
            <w:color w:val="164BAE"/>
            <w:sz w:val="20"/>
            <w:szCs w:val="20"/>
            <w:u w:val="single" w:color="164BAE"/>
            <w:lang w:val="en-US" w:eastAsia="en-US"/>
          </w:rPr>
          <w:t>http://www.cairn.info/revue-pole-sud-2005-1-page-39.htm</w:t>
        </w:r>
      </w:hyperlink>
    </w:p>
    <w:p w:rsidR="00365560" w:rsidRPr="00A15E10" w:rsidRDefault="00365560" w:rsidP="00365560">
      <w:pPr>
        <w:widowControl w:val="0"/>
        <w:autoSpaceDE w:val="0"/>
        <w:autoSpaceDN w:val="0"/>
        <w:adjustRightInd w:val="0"/>
        <w:jc w:val="both"/>
        <w:rPr>
          <w:rFonts w:eastAsiaTheme="minorHAnsi" w:cs="Helvetica"/>
          <w:sz w:val="20"/>
          <w:szCs w:val="20"/>
          <w:lang w:val="en-US" w:eastAsia="en-US"/>
        </w:rPr>
      </w:pPr>
      <w:r w:rsidRPr="00A15E10">
        <w:rPr>
          <w:rFonts w:eastAsiaTheme="minorHAnsi" w:cs="Helvetica"/>
          <w:sz w:val="20"/>
          <w:szCs w:val="20"/>
          <w:lang w:val="en-US" w:eastAsia="en-US"/>
        </w:rPr>
        <w:t xml:space="preserve">Manuel </w:t>
      </w:r>
      <w:proofErr w:type="spellStart"/>
      <w:r w:rsidRPr="00A15E10">
        <w:rPr>
          <w:rFonts w:eastAsiaTheme="minorHAnsi" w:cs="Helvetica"/>
          <w:sz w:val="20"/>
          <w:szCs w:val="20"/>
          <w:lang w:val="en-US" w:eastAsia="en-US"/>
        </w:rPr>
        <w:t>Loff</w:t>
      </w:r>
      <w:proofErr w:type="spellEnd"/>
      <w:r w:rsidRPr="00A15E10">
        <w:rPr>
          <w:rFonts w:eastAsiaTheme="minorHAnsi" w:cs="Helvetica"/>
          <w:sz w:val="20"/>
          <w:szCs w:val="20"/>
          <w:lang w:val="en-US" w:eastAsia="en-US"/>
        </w:rPr>
        <w:t>, Luciana Sotelo, « Dictatorship and Revolution: disputes over collective memory in post-authoritarian Portugal », in Hugo Garcia et alibi, </w:t>
      </w:r>
      <w:r w:rsidRPr="00A15E10">
        <w:rPr>
          <w:rFonts w:eastAsiaTheme="minorHAnsi" w:cs="Helvetica"/>
          <w:i/>
          <w:iCs/>
          <w:sz w:val="20"/>
          <w:szCs w:val="20"/>
          <w:lang w:val="en-US" w:eastAsia="en-US"/>
        </w:rPr>
        <w:t>Rethinking antifascism: history, memory and politics</w:t>
      </w:r>
      <w:r w:rsidRPr="00A15E10">
        <w:rPr>
          <w:rFonts w:eastAsiaTheme="minorHAnsi" w:cs="Helvetica"/>
          <w:sz w:val="20"/>
          <w:szCs w:val="20"/>
          <w:lang w:val="en-US" w:eastAsia="en-US"/>
        </w:rPr>
        <w:t xml:space="preserve">, New York - Oxford, </w:t>
      </w:r>
      <w:proofErr w:type="spellStart"/>
      <w:r w:rsidRPr="00A15E10">
        <w:rPr>
          <w:rFonts w:eastAsiaTheme="minorHAnsi" w:cs="Helvetica"/>
          <w:sz w:val="20"/>
          <w:szCs w:val="20"/>
          <w:lang w:val="en-US" w:eastAsia="en-US"/>
        </w:rPr>
        <w:t>Berghahn</w:t>
      </w:r>
      <w:proofErr w:type="spellEnd"/>
      <w:r w:rsidRPr="00A15E10">
        <w:rPr>
          <w:rFonts w:eastAsiaTheme="minorHAnsi" w:cs="Helvetica"/>
          <w:sz w:val="20"/>
          <w:szCs w:val="20"/>
          <w:lang w:val="en-US" w:eastAsia="en-US"/>
        </w:rPr>
        <w:t>, 2016, pp. 300-320.</w:t>
      </w:r>
    </w:p>
    <w:p w:rsidR="00365560" w:rsidRPr="00A15E10" w:rsidRDefault="00365560" w:rsidP="00365560">
      <w:pPr>
        <w:jc w:val="both"/>
        <w:rPr>
          <w:sz w:val="20"/>
          <w:szCs w:val="20"/>
          <w:lang w:val="en-US"/>
        </w:rPr>
      </w:pPr>
    </w:p>
    <w:p w:rsidR="00365560" w:rsidRPr="00A15E10" w:rsidRDefault="00365560" w:rsidP="00365560">
      <w:pPr>
        <w:rPr>
          <w:sz w:val="20"/>
          <w:szCs w:val="20"/>
          <w:u w:val="single"/>
        </w:rPr>
      </w:pPr>
      <w:r w:rsidRPr="00A15E10">
        <w:rPr>
          <w:sz w:val="20"/>
          <w:szCs w:val="20"/>
          <w:u w:val="single"/>
        </w:rPr>
        <w:t>Amérique latine</w:t>
      </w:r>
    </w:p>
    <w:p w:rsidR="00365560" w:rsidRPr="00A15E10" w:rsidRDefault="00365560" w:rsidP="00365560">
      <w:pPr>
        <w:widowControl w:val="0"/>
        <w:autoSpaceDE w:val="0"/>
        <w:autoSpaceDN w:val="0"/>
        <w:adjustRightInd w:val="0"/>
        <w:rPr>
          <w:rFonts w:eastAsiaTheme="minorHAnsi" w:cs="Helvetica"/>
          <w:sz w:val="20"/>
          <w:szCs w:val="20"/>
          <w:lang w:eastAsia="en-US"/>
        </w:rPr>
      </w:pPr>
      <w:proofErr w:type="spellStart"/>
      <w:r w:rsidRPr="00A15E10">
        <w:rPr>
          <w:rFonts w:eastAsiaTheme="minorHAnsi" w:cs="Helvetica"/>
          <w:sz w:val="20"/>
          <w:szCs w:val="20"/>
          <w:lang w:eastAsia="en-US"/>
        </w:rPr>
        <w:t>Rouquié</w:t>
      </w:r>
      <w:proofErr w:type="spellEnd"/>
      <w:r w:rsidRPr="00A15E10">
        <w:rPr>
          <w:rFonts w:eastAsiaTheme="minorHAnsi" w:cs="Helvetica"/>
          <w:sz w:val="20"/>
          <w:szCs w:val="20"/>
          <w:lang w:eastAsia="en-US"/>
        </w:rPr>
        <w:t xml:space="preserve"> Alain,</w:t>
      </w:r>
      <w:r w:rsidRPr="00A15E10">
        <w:rPr>
          <w:rFonts w:eastAsiaTheme="minorHAnsi" w:cs="Helvetica"/>
          <w:i/>
          <w:iCs/>
          <w:sz w:val="20"/>
          <w:szCs w:val="20"/>
          <w:lang w:eastAsia="en-US"/>
        </w:rPr>
        <w:t xml:space="preserve"> L’état militaire en Amérique latine</w:t>
      </w:r>
      <w:r w:rsidRPr="00A15E10">
        <w:rPr>
          <w:rFonts w:eastAsiaTheme="minorHAnsi" w:cs="Helvetica"/>
          <w:sz w:val="20"/>
          <w:szCs w:val="20"/>
          <w:lang w:eastAsia="en-US"/>
        </w:rPr>
        <w:t>, Paris : Seuil, 1982.</w:t>
      </w:r>
    </w:p>
    <w:p w:rsidR="00365560" w:rsidRPr="00A15E10" w:rsidRDefault="00365560" w:rsidP="00365560">
      <w:pPr>
        <w:widowControl w:val="0"/>
        <w:autoSpaceDE w:val="0"/>
        <w:autoSpaceDN w:val="0"/>
        <w:adjustRightInd w:val="0"/>
        <w:rPr>
          <w:rFonts w:eastAsiaTheme="minorHAnsi" w:cs="Helvetica"/>
          <w:sz w:val="20"/>
          <w:szCs w:val="20"/>
          <w:lang w:eastAsia="en-US"/>
        </w:rPr>
      </w:pPr>
      <w:proofErr w:type="spellStart"/>
      <w:r w:rsidRPr="00A15E10">
        <w:rPr>
          <w:rFonts w:eastAsiaTheme="minorHAnsi" w:cs="Helvetica"/>
          <w:sz w:val="20"/>
          <w:szCs w:val="20"/>
          <w:lang w:eastAsia="en-US"/>
        </w:rPr>
        <w:t>Fregosi</w:t>
      </w:r>
      <w:proofErr w:type="spellEnd"/>
      <w:r w:rsidRPr="00A15E10">
        <w:rPr>
          <w:rFonts w:eastAsiaTheme="minorHAnsi" w:cs="Helvetica"/>
          <w:sz w:val="20"/>
          <w:szCs w:val="20"/>
          <w:lang w:eastAsia="en-US"/>
        </w:rPr>
        <w:t xml:space="preserve"> Renée (</w:t>
      </w:r>
      <w:proofErr w:type="spellStart"/>
      <w:r w:rsidRPr="00A15E10">
        <w:rPr>
          <w:rFonts w:eastAsiaTheme="minorHAnsi" w:cs="Helvetica"/>
          <w:sz w:val="20"/>
          <w:szCs w:val="20"/>
          <w:lang w:eastAsia="en-US"/>
        </w:rPr>
        <w:t>dir</w:t>
      </w:r>
      <w:proofErr w:type="spellEnd"/>
      <w:r w:rsidRPr="00A15E10">
        <w:rPr>
          <w:rFonts w:eastAsiaTheme="minorHAnsi" w:cs="Helvetica"/>
          <w:sz w:val="20"/>
          <w:szCs w:val="20"/>
          <w:lang w:eastAsia="en-US"/>
        </w:rPr>
        <w:t xml:space="preserve">.), </w:t>
      </w:r>
      <w:r w:rsidRPr="00A15E10">
        <w:rPr>
          <w:rFonts w:eastAsiaTheme="minorHAnsi" w:cs="Helvetica"/>
          <w:i/>
          <w:iCs/>
          <w:sz w:val="20"/>
          <w:szCs w:val="20"/>
          <w:lang w:eastAsia="en-US"/>
        </w:rPr>
        <w:t>Armées et pouvoirs en Amérique latine</w:t>
      </w:r>
      <w:r w:rsidRPr="00A15E10">
        <w:rPr>
          <w:rFonts w:eastAsiaTheme="minorHAnsi" w:cs="Helvetica"/>
          <w:sz w:val="20"/>
          <w:szCs w:val="20"/>
          <w:lang w:eastAsia="en-US"/>
        </w:rPr>
        <w:t>, Paris : IHEAL, 2004.</w:t>
      </w:r>
    </w:p>
    <w:p w:rsidR="00365560" w:rsidRPr="00A15E10" w:rsidRDefault="00365560" w:rsidP="00365560">
      <w:pPr>
        <w:rPr>
          <w:sz w:val="20"/>
          <w:szCs w:val="20"/>
          <w:u w:val="single"/>
        </w:rPr>
      </w:pPr>
      <w:r w:rsidRPr="00A15E10">
        <w:rPr>
          <w:rFonts w:eastAsiaTheme="minorHAnsi" w:cs="Helvetica"/>
          <w:i/>
          <w:iCs/>
          <w:sz w:val="20"/>
          <w:szCs w:val="20"/>
          <w:lang w:eastAsia="en-US"/>
        </w:rPr>
        <w:t>Vingtième Siècle</w:t>
      </w:r>
      <w:r w:rsidRPr="00A15E10">
        <w:rPr>
          <w:rFonts w:eastAsiaTheme="minorHAnsi" w:cs="Helvetica"/>
          <w:sz w:val="20"/>
          <w:szCs w:val="20"/>
          <w:lang w:eastAsia="en-US"/>
        </w:rPr>
        <w:t>, n°105, dossier « L’Amérique latine des régimes militaires », 2010. </w:t>
      </w:r>
    </w:p>
    <w:p w:rsidR="007147C9" w:rsidRDefault="00E45610"/>
    <w:p w:rsidR="00E45610" w:rsidRDefault="00E45610"/>
    <w:p w:rsidR="00E45610" w:rsidRPr="00E45610" w:rsidRDefault="00E45610" w:rsidP="00E45610">
      <w:pPr>
        <w:pBdr>
          <w:top w:val="single" w:sz="4" w:space="1" w:color="auto"/>
          <w:left w:val="single" w:sz="4" w:space="4" w:color="auto"/>
          <w:bottom w:val="single" w:sz="4" w:space="1" w:color="auto"/>
          <w:right w:val="single" w:sz="4" w:space="4" w:color="auto"/>
        </w:pBdr>
        <w:jc w:val="center"/>
        <w:rPr>
          <w:sz w:val="20"/>
          <w:szCs w:val="20"/>
        </w:rPr>
      </w:pPr>
      <w:r w:rsidRPr="00E45610">
        <w:rPr>
          <w:sz w:val="20"/>
          <w:szCs w:val="20"/>
        </w:rPr>
        <w:t>Enseignement Master « Sciences po » &amp; « Histoire et Civilisation » 2019/20</w:t>
      </w:r>
    </w:p>
    <w:p w:rsidR="00E45610" w:rsidRPr="00E45610" w:rsidRDefault="00E45610" w:rsidP="00E45610">
      <w:pPr>
        <w:pBdr>
          <w:top w:val="single" w:sz="4" w:space="1" w:color="auto"/>
          <w:left w:val="single" w:sz="4" w:space="4" w:color="auto"/>
          <w:bottom w:val="single" w:sz="4" w:space="1" w:color="auto"/>
          <w:right w:val="single" w:sz="4" w:space="4" w:color="auto"/>
        </w:pBdr>
        <w:jc w:val="center"/>
        <w:rPr>
          <w:sz w:val="20"/>
          <w:szCs w:val="20"/>
        </w:rPr>
      </w:pPr>
    </w:p>
    <w:p w:rsidR="00E45610" w:rsidRPr="00E45610" w:rsidRDefault="00E45610" w:rsidP="00E45610">
      <w:pPr>
        <w:pBdr>
          <w:top w:val="single" w:sz="4" w:space="1" w:color="auto"/>
          <w:left w:val="single" w:sz="4" w:space="4" w:color="auto"/>
          <w:bottom w:val="single" w:sz="4" w:space="1" w:color="auto"/>
          <w:right w:val="single" w:sz="4" w:space="4" w:color="auto"/>
        </w:pBdr>
        <w:jc w:val="center"/>
        <w:rPr>
          <w:b/>
          <w:sz w:val="20"/>
          <w:szCs w:val="20"/>
        </w:rPr>
      </w:pPr>
      <w:r w:rsidRPr="00E45610">
        <w:rPr>
          <w:b/>
          <w:sz w:val="20"/>
          <w:szCs w:val="20"/>
        </w:rPr>
        <w:t xml:space="preserve">Norbert WASZEK - Professeur en Etudes germaniques (UFR LLCE), Université Paris 8 – </w:t>
      </w:r>
      <w:hyperlink r:id="rId7" w:history="1">
        <w:r w:rsidRPr="00E45610">
          <w:rPr>
            <w:b/>
            <w:sz w:val="20"/>
            <w:szCs w:val="20"/>
          </w:rPr>
          <w:t>norbert.waszek@gmail.com</w:t>
        </w:r>
      </w:hyperlink>
      <w:r w:rsidRPr="00E45610">
        <w:rPr>
          <w:b/>
          <w:sz w:val="20"/>
          <w:szCs w:val="20"/>
        </w:rPr>
        <w:t xml:space="preserve"> Site : </w:t>
      </w:r>
      <w:hyperlink r:id="rId8" w:history="1">
        <w:r w:rsidRPr="00E45610">
          <w:rPr>
            <w:b/>
            <w:sz w:val="20"/>
            <w:szCs w:val="20"/>
          </w:rPr>
          <w:t>http://norbertwaszek.free.fr</w:t>
        </w:r>
      </w:hyperlink>
    </w:p>
    <w:p w:rsidR="00E45610" w:rsidRPr="00E45610" w:rsidRDefault="00E45610" w:rsidP="00E45610">
      <w:pPr>
        <w:pBdr>
          <w:top w:val="single" w:sz="4" w:space="1" w:color="auto"/>
          <w:left w:val="single" w:sz="4" w:space="4" w:color="auto"/>
          <w:bottom w:val="single" w:sz="4" w:space="1" w:color="auto"/>
          <w:right w:val="single" w:sz="4" w:space="4" w:color="auto"/>
        </w:pBdr>
        <w:jc w:val="center"/>
        <w:rPr>
          <w:b/>
          <w:sz w:val="20"/>
          <w:szCs w:val="20"/>
        </w:rPr>
      </w:pPr>
    </w:p>
    <w:p w:rsidR="00E45610" w:rsidRPr="00E45610" w:rsidRDefault="00E45610" w:rsidP="00E45610">
      <w:pPr>
        <w:pBdr>
          <w:top w:val="single" w:sz="4" w:space="1" w:color="auto"/>
          <w:left w:val="single" w:sz="4" w:space="4" w:color="auto"/>
          <w:bottom w:val="single" w:sz="4" w:space="1" w:color="auto"/>
          <w:right w:val="single" w:sz="4" w:space="4" w:color="auto"/>
        </w:pBdr>
        <w:jc w:val="center"/>
        <w:rPr>
          <w:sz w:val="20"/>
          <w:szCs w:val="20"/>
        </w:rPr>
      </w:pPr>
    </w:p>
    <w:p w:rsidR="00E45610" w:rsidRPr="00E45610" w:rsidRDefault="00E45610" w:rsidP="00E45610">
      <w:pPr>
        <w:pBdr>
          <w:top w:val="single" w:sz="4" w:space="1" w:color="auto"/>
          <w:left w:val="single" w:sz="4" w:space="4" w:color="auto"/>
          <w:bottom w:val="single" w:sz="4" w:space="1" w:color="auto"/>
          <w:right w:val="single" w:sz="4" w:space="4" w:color="auto"/>
        </w:pBdr>
        <w:jc w:val="center"/>
        <w:rPr>
          <w:sz w:val="20"/>
          <w:szCs w:val="20"/>
        </w:rPr>
      </w:pPr>
    </w:p>
    <w:p w:rsidR="00E45610" w:rsidRPr="00E45610" w:rsidRDefault="00E45610" w:rsidP="00E45610">
      <w:pPr>
        <w:pBdr>
          <w:top w:val="single" w:sz="4" w:space="1" w:color="auto"/>
          <w:left w:val="single" w:sz="4" w:space="4" w:color="auto"/>
          <w:bottom w:val="single" w:sz="4" w:space="1" w:color="auto"/>
          <w:right w:val="single" w:sz="4" w:space="4" w:color="auto"/>
        </w:pBdr>
        <w:jc w:val="center"/>
        <w:rPr>
          <w:b/>
          <w:sz w:val="20"/>
          <w:szCs w:val="20"/>
        </w:rPr>
      </w:pPr>
      <w:r w:rsidRPr="00E45610">
        <w:rPr>
          <w:b/>
          <w:sz w:val="20"/>
          <w:szCs w:val="20"/>
        </w:rPr>
        <w:t>La question sociale dans la théorie politique allemande</w:t>
      </w:r>
      <w:r w:rsidRPr="00E45610">
        <w:rPr>
          <w:b/>
          <w:sz w:val="20"/>
          <w:szCs w:val="20"/>
        </w:rPr>
        <w:tab/>
      </w:r>
    </w:p>
    <w:p w:rsidR="00E45610" w:rsidRPr="00E45610" w:rsidRDefault="00E45610" w:rsidP="00E45610">
      <w:pPr>
        <w:pBdr>
          <w:top w:val="single" w:sz="4" w:space="1" w:color="auto"/>
          <w:left w:val="single" w:sz="4" w:space="4" w:color="auto"/>
          <w:bottom w:val="single" w:sz="4" w:space="1" w:color="auto"/>
          <w:right w:val="single" w:sz="4" w:space="4" w:color="auto"/>
        </w:pBdr>
        <w:jc w:val="center"/>
        <w:rPr>
          <w:sz w:val="20"/>
          <w:szCs w:val="20"/>
        </w:rPr>
      </w:pPr>
      <w:r w:rsidRPr="00E45610">
        <w:rPr>
          <w:sz w:val="20"/>
          <w:szCs w:val="20"/>
        </w:rPr>
        <w:t xml:space="preserve">Séminaire M1-M2 </w:t>
      </w:r>
    </w:p>
    <w:p w:rsidR="00E45610" w:rsidRPr="00E45610" w:rsidRDefault="00E45610" w:rsidP="00E45610">
      <w:pPr>
        <w:pBdr>
          <w:top w:val="single" w:sz="4" w:space="1" w:color="auto"/>
          <w:left w:val="single" w:sz="4" w:space="4" w:color="auto"/>
          <w:bottom w:val="single" w:sz="4" w:space="1" w:color="auto"/>
          <w:right w:val="single" w:sz="4" w:space="4" w:color="auto"/>
        </w:pBdr>
        <w:jc w:val="center"/>
        <w:rPr>
          <w:sz w:val="20"/>
          <w:szCs w:val="20"/>
        </w:rPr>
      </w:pPr>
      <w:r w:rsidRPr="00E45610">
        <w:rPr>
          <w:sz w:val="20"/>
          <w:szCs w:val="20"/>
        </w:rPr>
        <w:t>1er semestre 2019/2020</w:t>
      </w:r>
    </w:p>
    <w:p w:rsidR="00E45610" w:rsidRPr="00E45610" w:rsidRDefault="00E45610" w:rsidP="00E45610">
      <w:pPr>
        <w:pBdr>
          <w:top w:val="single" w:sz="4" w:space="1" w:color="auto"/>
          <w:left w:val="single" w:sz="4" w:space="4" w:color="auto"/>
          <w:bottom w:val="single" w:sz="4" w:space="1" w:color="auto"/>
          <w:right w:val="single" w:sz="4" w:space="4" w:color="auto"/>
        </w:pBdr>
        <w:jc w:val="center"/>
        <w:rPr>
          <w:sz w:val="20"/>
          <w:szCs w:val="20"/>
        </w:rPr>
      </w:pPr>
      <w:r w:rsidRPr="00E45610">
        <w:rPr>
          <w:sz w:val="20"/>
          <w:szCs w:val="20"/>
        </w:rPr>
        <w:t>Lundi 15-18 h  salle : B 310</w:t>
      </w:r>
    </w:p>
    <w:p w:rsidR="00E45610" w:rsidRDefault="00E45610" w:rsidP="00E4561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Garamond" w:hAnsi="Garamond" w:cs="Garamond"/>
          <w:b/>
          <w:bCs/>
          <w:caps/>
          <w:color w:val="000000"/>
          <w:sz w:val="20"/>
          <w:szCs w:val="20"/>
        </w:rPr>
      </w:pPr>
    </w:p>
    <w:p w:rsidR="00E45610" w:rsidRDefault="00E45610" w:rsidP="00E45610">
      <w:pPr>
        <w:widowControl w:val="0"/>
        <w:autoSpaceDE w:val="0"/>
        <w:autoSpaceDN w:val="0"/>
        <w:adjustRightInd w:val="0"/>
        <w:jc w:val="center"/>
        <w:rPr>
          <w:rFonts w:ascii="Garamond" w:hAnsi="Garamond" w:cs="Garamond"/>
          <w:b/>
          <w:bCs/>
          <w:caps/>
          <w:color w:val="000000"/>
          <w:sz w:val="20"/>
          <w:szCs w:val="20"/>
        </w:rPr>
      </w:pPr>
    </w:p>
    <w:p w:rsidR="00E45610" w:rsidRDefault="00E45610" w:rsidP="00E45610">
      <w:pPr>
        <w:widowControl w:val="0"/>
        <w:autoSpaceDE w:val="0"/>
        <w:autoSpaceDN w:val="0"/>
        <w:adjustRightInd w:val="0"/>
        <w:jc w:val="right"/>
        <w:rPr>
          <w:rFonts w:ascii="Garamond" w:hAnsi="Garamond" w:cs="Garamond"/>
          <w:i/>
          <w:iCs/>
          <w:sz w:val="20"/>
          <w:szCs w:val="20"/>
        </w:rPr>
      </w:pPr>
      <w:r>
        <w:rPr>
          <w:rFonts w:ascii="Garamond" w:hAnsi="Garamond" w:cs="Garamond"/>
          <w:i/>
          <w:iCs/>
          <w:sz w:val="20"/>
          <w:szCs w:val="20"/>
        </w:rPr>
        <w:t>Langue d’enseignement : français</w:t>
      </w:r>
    </w:p>
    <w:p w:rsidR="00E45610" w:rsidRDefault="00E45610" w:rsidP="00E45610">
      <w:pPr>
        <w:widowControl w:val="0"/>
        <w:autoSpaceDE w:val="0"/>
        <w:autoSpaceDN w:val="0"/>
        <w:adjustRightInd w:val="0"/>
        <w:jc w:val="right"/>
        <w:rPr>
          <w:rFonts w:ascii="Garamond" w:hAnsi="Garamond" w:cs="Garamond"/>
          <w:i/>
          <w:iCs/>
          <w:sz w:val="20"/>
          <w:szCs w:val="20"/>
        </w:rPr>
      </w:pPr>
      <w:r>
        <w:rPr>
          <w:rFonts w:ascii="Garamond" w:hAnsi="Garamond" w:cs="Garamond"/>
          <w:i/>
          <w:iCs/>
          <w:sz w:val="20"/>
          <w:szCs w:val="20"/>
        </w:rPr>
        <w:t xml:space="preserve">Langue des textes étudiés : allemand (mais des </w:t>
      </w:r>
      <w:r w:rsidRPr="005F790A">
        <w:rPr>
          <w:rFonts w:ascii="Garamond" w:hAnsi="Garamond" w:cs="Garamond"/>
          <w:i/>
          <w:iCs/>
          <w:sz w:val="20"/>
          <w:szCs w:val="20"/>
          <w:u w:val="single"/>
        </w:rPr>
        <w:t>traductions en français sont fournies</w:t>
      </w:r>
      <w:r>
        <w:rPr>
          <w:rFonts w:ascii="Garamond" w:hAnsi="Garamond" w:cs="Garamond"/>
          <w:i/>
          <w:iCs/>
          <w:sz w:val="20"/>
          <w:szCs w:val="20"/>
        </w:rPr>
        <w:t>)</w:t>
      </w:r>
    </w:p>
    <w:p w:rsidR="00E45610" w:rsidRDefault="00E45610" w:rsidP="00E45610">
      <w:pPr>
        <w:widowControl w:val="0"/>
        <w:autoSpaceDE w:val="0"/>
        <w:autoSpaceDN w:val="0"/>
        <w:adjustRightInd w:val="0"/>
        <w:jc w:val="right"/>
        <w:rPr>
          <w:rFonts w:ascii="Garamond" w:hAnsi="Garamond" w:cs="Garamond"/>
          <w:i/>
          <w:iCs/>
          <w:sz w:val="20"/>
          <w:szCs w:val="20"/>
        </w:rPr>
      </w:pPr>
    </w:p>
    <w:p w:rsidR="00E45610" w:rsidRDefault="00E45610" w:rsidP="00E45610">
      <w:pPr>
        <w:widowControl w:val="0"/>
        <w:autoSpaceDE w:val="0"/>
        <w:autoSpaceDN w:val="0"/>
        <w:adjustRightInd w:val="0"/>
        <w:jc w:val="right"/>
        <w:rPr>
          <w:rFonts w:ascii="Garamond" w:hAnsi="Garamond" w:cs="Garamond"/>
          <w:sz w:val="20"/>
          <w:szCs w:val="20"/>
        </w:rPr>
      </w:pPr>
    </w:p>
    <w:p w:rsidR="00E45610" w:rsidRPr="00105389" w:rsidRDefault="00E45610" w:rsidP="00E45610">
      <w:pPr>
        <w:widowControl w:val="0"/>
        <w:autoSpaceDE w:val="0"/>
        <w:autoSpaceDN w:val="0"/>
        <w:adjustRightInd w:val="0"/>
        <w:jc w:val="both"/>
        <w:rPr>
          <w:rFonts w:ascii="Garamond" w:hAnsi="Garamond" w:cs="Garamond"/>
        </w:rPr>
      </w:pPr>
      <w:r w:rsidRPr="00105389">
        <w:rPr>
          <w:rFonts w:ascii="Garamond" w:hAnsi="Garamond" w:cs="Garamond"/>
        </w:rPr>
        <w:t>Ce séminaire prendra pour objet certaines des analyses de la « question sociale » élaborées aux XIX-XX</w:t>
      </w:r>
      <w:r w:rsidRPr="00105389">
        <w:rPr>
          <w:rFonts w:ascii="Garamond" w:hAnsi="Garamond" w:cs="Garamond"/>
          <w:vertAlign w:val="superscript"/>
        </w:rPr>
        <w:t>e</w:t>
      </w:r>
      <w:r w:rsidRPr="00105389">
        <w:rPr>
          <w:rFonts w:ascii="Garamond" w:hAnsi="Garamond" w:cs="Garamond"/>
        </w:rPr>
        <w:t xml:space="preserve"> s. dans l’aire culturelle allemande, particulièrement riche dans ce domaine : on pensera à Hegel et Marx, mais aussi à toute une tradition de « l’Etat de droit social », qui avait pour but de répondre à des problèmes de société. L’histoire de la réflexion sur la question sociale ne peut pas être étudiée sans prendre en considération l’histoire sociale et politique de l’époque concernée, ne serait-ce que de façon minimale  - et  notre champ d’étude devra également s’élargir de façon à prendre en considération les traditions britanniques et françaises, qui servirent souvent de source d’inspiration aux penseurs allemands. </w:t>
      </w:r>
    </w:p>
    <w:p w:rsidR="00E45610" w:rsidRDefault="00E45610" w:rsidP="00E45610">
      <w:pPr>
        <w:widowControl w:val="0"/>
        <w:autoSpaceDE w:val="0"/>
        <w:autoSpaceDN w:val="0"/>
        <w:adjustRightInd w:val="0"/>
        <w:rPr>
          <w:rFonts w:ascii="Garamond" w:hAnsi="Garamond" w:cs="Garamond"/>
          <w:b/>
          <w:bCs/>
          <w:sz w:val="20"/>
          <w:szCs w:val="20"/>
        </w:rPr>
      </w:pPr>
    </w:p>
    <w:p w:rsidR="00E45610" w:rsidRDefault="00E45610" w:rsidP="00E45610">
      <w:pPr>
        <w:widowControl w:val="0"/>
        <w:autoSpaceDE w:val="0"/>
        <w:autoSpaceDN w:val="0"/>
        <w:adjustRightInd w:val="0"/>
        <w:rPr>
          <w:rFonts w:ascii="Garamond" w:hAnsi="Garamond" w:cs="Garamond"/>
          <w:b/>
          <w:bCs/>
          <w:sz w:val="20"/>
          <w:szCs w:val="20"/>
        </w:rPr>
      </w:pPr>
    </w:p>
    <w:p w:rsidR="00E45610" w:rsidRDefault="00E45610" w:rsidP="00E45610">
      <w:pPr>
        <w:widowControl w:val="0"/>
        <w:autoSpaceDE w:val="0"/>
        <w:autoSpaceDN w:val="0"/>
        <w:adjustRightInd w:val="0"/>
        <w:rPr>
          <w:rFonts w:ascii="Garamond" w:hAnsi="Garamond" w:cs="Garamond"/>
          <w:b/>
          <w:bCs/>
          <w:sz w:val="20"/>
          <w:szCs w:val="20"/>
        </w:rPr>
      </w:pPr>
    </w:p>
    <w:p w:rsidR="00E45610" w:rsidRDefault="00E45610" w:rsidP="00E45610">
      <w:pPr>
        <w:widowControl w:val="0"/>
        <w:autoSpaceDE w:val="0"/>
        <w:autoSpaceDN w:val="0"/>
        <w:adjustRightInd w:val="0"/>
        <w:rPr>
          <w:rFonts w:ascii="Garamond" w:hAnsi="Garamond" w:cs="Garamond"/>
          <w:b/>
          <w:bCs/>
          <w:sz w:val="20"/>
          <w:szCs w:val="20"/>
        </w:rPr>
      </w:pPr>
      <w:r w:rsidRPr="00CB7ABB">
        <w:rPr>
          <w:rFonts w:ascii="Garamond" w:hAnsi="Garamond" w:cs="Garamond"/>
          <w:b/>
          <w:bCs/>
          <w:sz w:val="20"/>
          <w:szCs w:val="20"/>
        </w:rPr>
        <w:t>Indications bibliographiques</w:t>
      </w:r>
      <w:r>
        <w:rPr>
          <w:rFonts w:ascii="Garamond" w:hAnsi="Garamond" w:cs="Garamond"/>
          <w:b/>
          <w:bCs/>
          <w:sz w:val="20"/>
          <w:szCs w:val="20"/>
        </w:rPr>
        <w:t xml:space="preserve"> :</w:t>
      </w:r>
    </w:p>
    <w:p w:rsidR="00E45610" w:rsidRDefault="00E45610" w:rsidP="00E45610">
      <w:pPr>
        <w:widowControl w:val="0"/>
        <w:autoSpaceDE w:val="0"/>
        <w:autoSpaceDN w:val="0"/>
        <w:adjustRightInd w:val="0"/>
        <w:rPr>
          <w:rFonts w:ascii="Garamond" w:hAnsi="Garamond" w:cs="Garamond"/>
          <w:sz w:val="20"/>
          <w:szCs w:val="20"/>
        </w:rPr>
      </w:pPr>
      <w:r>
        <w:rPr>
          <w:rFonts w:ascii="Garamond" w:hAnsi="Garamond" w:cs="Garamond"/>
          <w:sz w:val="20"/>
          <w:szCs w:val="20"/>
        </w:rPr>
        <w:t>Les textes que nous étudierons furent rédigés en allemand, mais il en existe aussi des traductions en français, sur lesquelles nous travaillerons.</w:t>
      </w:r>
    </w:p>
    <w:p w:rsidR="00E45610" w:rsidRPr="00E71DE4" w:rsidRDefault="00E45610" w:rsidP="00E45610">
      <w:pPr>
        <w:widowControl w:val="0"/>
        <w:autoSpaceDE w:val="0"/>
        <w:autoSpaceDN w:val="0"/>
        <w:adjustRightInd w:val="0"/>
        <w:rPr>
          <w:rFonts w:ascii="Garamond" w:hAnsi="Garamond" w:cs="Garamond"/>
          <w:bCs/>
          <w:sz w:val="20"/>
          <w:szCs w:val="20"/>
        </w:rPr>
      </w:pPr>
      <w:r>
        <w:rPr>
          <w:rFonts w:ascii="Garamond" w:hAnsi="Garamond" w:cs="Garamond"/>
          <w:bCs/>
          <w:sz w:val="20"/>
          <w:szCs w:val="20"/>
        </w:rPr>
        <w:t xml:space="preserve">Au centre du séminaire, </w:t>
      </w:r>
      <w:r w:rsidRPr="00E71DE4">
        <w:rPr>
          <w:rFonts w:ascii="Garamond" w:hAnsi="Garamond" w:cs="Garamond"/>
          <w:bCs/>
          <w:sz w:val="20"/>
          <w:szCs w:val="20"/>
        </w:rPr>
        <w:t>une lecture du texte de Hegel</w:t>
      </w:r>
    </w:p>
    <w:p w:rsidR="00E45610" w:rsidRDefault="00E45610" w:rsidP="00E45610">
      <w:pPr>
        <w:widowControl w:val="0"/>
        <w:autoSpaceDE w:val="0"/>
        <w:autoSpaceDN w:val="0"/>
        <w:adjustRightInd w:val="0"/>
        <w:jc w:val="both"/>
        <w:rPr>
          <w:rFonts w:ascii="Garamond" w:hAnsi="Garamond" w:cs="Garamond"/>
          <w:sz w:val="20"/>
          <w:szCs w:val="20"/>
        </w:rPr>
      </w:pPr>
      <w:r>
        <w:rPr>
          <w:rFonts w:ascii="Garamond" w:hAnsi="Garamond" w:cs="Garamond"/>
          <w:sz w:val="20"/>
          <w:szCs w:val="20"/>
        </w:rPr>
        <w:t xml:space="preserve">G.W.F. Hegel, </w:t>
      </w:r>
      <w:r w:rsidRPr="00A36FCA">
        <w:rPr>
          <w:rFonts w:ascii="Garamond" w:hAnsi="Garamond" w:cs="Garamond"/>
          <w:i/>
          <w:sz w:val="20"/>
          <w:szCs w:val="20"/>
        </w:rPr>
        <w:t>Philosophie du droit</w:t>
      </w:r>
      <w:r>
        <w:rPr>
          <w:rFonts w:ascii="Garamond" w:hAnsi="Garamond" w:cs="Garamond"/>
          <w:i/>
          <w:sz w:val="20"/>
          <w:szCs w:val="20"/>
        </w:rPr>
        <w:t> </w:t>
      </w:r>
      <w:r>
        <w:rPr>
          <w:rFonts w:ascii="Garamond" w:hAnsi="Garamond" w:cs="Garamond"/>
          <w:sz w:val="20"/>
          <w:szCs w:val="20"/>
        </w:rPr>
        <w:t xml:space="preserve">: il en existe au moins quatre traductions différentes en français. </w:t>
      </w:r>
    </w:p>
    <w:p w:rsidR="00E45610" w:rsidRDefault="00E45610" w:rsidP="00E45610">
      <w:pPr>
        <w:widowControl w:val="0"/>
        <w:autoSpaceDE w:val="0"/>
        <w:autoSpaceDN w:val="0"/>
        <w:adjustRightInd w:val="0"/>
        <w:jc w:val="both"/>
        <w:rPr>
          <w:rFonts w:ascii="Garamond" w:hAnsi="Garamond" w:cs="Garamond"/>
          <w:sz w:val="20"/>
          <w:szCs w:val="20"/>
        </w:rPr>
      </w:pPr>
      <w:r>
        <w:rPr>
          <w:rFonts w:ascii="Garamond" w:hAnsi="Garamond" w:cs="Garamond"/>
          <w:sz w:val="20"/>
          <w:szCs w:val="20"/>
        </w:rPr>
        <w:t>Nous examinerons plus spécialement la section sur la « société civile », §§ 181-256.</w:t>
      </w:r>
    </w:p>
    <w:p w:rsidR="00E45610" w:rsidRDefault="00E45610" w:rsidP="00E45610">
      <w:pPr>
        <w:widowControl w:val="0"/>
        <w:autoSpaceDE w:val="0"/>
        <w:autoSpaceDN w:val="0"/>
        <w:adjustRightInd w:val="0"/>
        <w:jc w:val="both"/>
        <w:rPr>
          <w:rFonts w:ascii="Garamond" w:hAnsi="Garamond" w:cs="Garamond"/>
          <w:sz w:val="20"/>
          <w:szCs w:val="20"/>
        </w:rPr>
      </w:pPr>
    </w:p>
    <w:p w:rsidR="00E45610" w:rsidRDefault="00E45610" w:rsidP="00E45610">
      <w:pPr>
        <w:widowControl w:val="0"/>
        <w:autoSpaceDE w:val="0"/>
        <w:autoSpaceDN w:val="0"/>
        <w:adjustRightInd w:val="0"/>
        <w:jc w:val="both"/>
        <w:rPr>
          <w:rFonts w:ascii="Garamond" w:hAnsi="Garamond" w:cs="Garamond"/>
          <w:sz w:val="20"/>
          <w:szCs w:val="20"/>
        </w:rPr>
      </w:pPr>
      <w:r>
        <w:rPr>
          <w:rFonts w:ascii="Garamond" w:hAnsi="Garamond" w:cs="Garamond"/>
          <w:sz w:val="20"/>
          <w:szCs w:val="20"/>
        </w:rPr>
        <w:t xml:space="preserve">Pour une première orientation sur la suite du séminaire: </w:t>
      </w:r>
    </w:p>
    <w:p w:rsidR="00E45610" w:rsidRDefault="00E45610" w:rsidP="00E45610">
      <w:pPr>
        <w:widowControl w:val="0"/>
        <w:autoSpaceDE w:val="0"/>
        <w:autoSpaceDN w:val="0"/>
        <w:adjustRightInd w:val="0"/>
        <w:jc w:val="both"/>
        <w:rPr>
          <w:rFonts w:ascii="Garamond" w:hAnsi="Garamond" w:cs="Garamond"/>
          <w:sz w:val="20"/>
          <w:szCs w:val="20"/>
        </w:rPr>
      </w:pPr>
      <w:r>
        <w:rPr>
          <w:rFonts w:ascii="Garamond" w:hAnsi="Garamond" w:cs="Garamond"/>
          <w:sz w:val="20"/>
          <w:szCs w:val="20"/>
        </w:rPr>
        <w:t xml:space="preserve">Norbert </w:t>
      </w:r>
      <w:proofErr w:type="spellStart"/>
      <w:r>
        <w:rPr>
          <w:rFonts w:ascii="Garamond" w:hAnsi="Garamond" w:cs="Garamond"/>
          <w:sz w:val="20"/>
          <w:szCs w:val="20"/>
        </w:rPr>
        <w:t>Waszek</w:t>
      </w:r>
      <w:proofErr w:type="spellEnd"/>
      <w:r>
        <w:rPr>
          <w:rFonts w:ascii="Garamond" w:hAnsi="Garamond" w:cs="Garamond"/>
          <w:sz w:val="20"/>
          <w:szCs w:val="20"/>
        </w:rPr>
        <w:t>, « </w:t>
      </w:r>
      <w:r w:rsidRPr="00A60094">
        <w:rPr>
          <w:rFonts w:ascii="Garamond" w:hAnsi="Garamond" w:cs="Garamond"/>
          <w:sz w:val="20"/>
          <w:szCs w:val="20"/>
        </w:rPr>
        <w:t xml:space="preserve">Aux sources de l'Etat social à l'allemande: Lorenz </w:t>
      </w:r>
      <w:proofErr w:type="spellStart"/>
      <w:r w:rsidRPr="00A60094">
        <w:rPr>
          <w:rFonts w:ascii="Garamond" w:hAnsi="Garamond" w:cs="Garamond"/>
          <w:sz w:val="20"/>
          <w:szCs w:val="20"/>
        </w:rPr>
        <w:t>von</w:t>
      </w:r>
      <w:proofErr w:type="spellEnd"/>
      <w:r w:rsidRPr="00A60094">
        <w:rPr>
          <w:rFonts w:ascii="Garamond" w:hAnsi="Garamond" w:cs="Garamond"/>
          <w:sz w:val="20"/>
          <w:szCs w:val="20"/>
        </w:rPr>
        <w:t xml:space="preserve"> Stein - et Hegel</w:t>
      </w:r>
      <w:r>
        <w:rPr>
          <w:rFonts w:ascii="Garamond" w:hAnsi="Garamond" w:cs="Garamond"/>
          <w:sz w:val="20"/>
          <w:szCs w:val="20"/>
        </w:rPr>
        <w:t> »</w:t>
      </w:r>
      <w:r w:rsidRPr="00A60094">
        <w:rPr>
          <w:rFonts w:ascii="Garamond" w:hAnsi="Garamond" w:cs="Garamond"/>
          <w:sz w:val="20"/>
          <w:szCs w:val="20"/>
        </w:rPr>
        <w:t xml:space="preserve">. - In: </w:t>
      </w:r>
      <w:r w:rsidRPr="00A60094">
        <w:rPr>
          <w:rFonts w:ascii="Garamond" w:hAnsi="Garamond" w:cs="Garamond"/>
          <w:i/>
          <w:sz w:val="20"/>
          <w:szCs w:val="20"/>
        </w:rPr>
        <w:t>Hegel: droit, histoire, société</w:t>
      </w:r>
      <w:r w:rsidRPr="00A60094">
        <w:rPr>
          <w:rFonts w:ascii="Garamond" w:hAnsi="Garamond" w:cs="Garamond"/>
          <w:sz w:val="20"/>
          <w:szCs w:val="20"/>
        </w:rPr>
        <w:t xml:space="preserve">. </w:t>
      </w:r>
      <w:proofErr w:type="gramStart"/>
      <w:r>
        <w:rPr>
          <w:rFonts w:ascii="Garamond" w:hAnsi="Garamond" w:cs="Garamond"/>
          <w:sz w:val="20"/>
          <w:szCs w:val="20"/>
        </w:rPr>
        <w:t>é</w:t>
      </w:r>
      <w:r w:rsidRPr="00A60094">
        <w:rPr>
          <w:rFonts w:ascii="Garamond" w:hAnsi="Garamond" w:cs="Garamond"/>
          <w:sz w:val="20"/>
          <w:szCs w:val="20"/>
        </w:rPr>
        <w:t>d</w:t>
      </w:r>
      <w:proofErr w:type="gramEnd"/>
      <w:r w:rsidRPr="00A60094">
        <w:rPr>
          <w:rFonts w:ascii="Garamond" w:hAnsi="Garamond" w:cs="Garamond"/>
          <w:sz w:val="20"/>
          <w:szCs w:val="20"/>
        </w:rPr>
        <w:t xml:space="preserve">. par N. </w:t>
      </w:r>
      <w:proofErr w:type="spellStart"/>
      <w:r w:rsidRPr="00A60094">
        <w:rPr>
          <w:rFonts w:ascii="Garamond" w:hAnsi="Garamond" w:cs="Garamond"/>
          <w:sz w:val="20"/>
          <w:szCs w:val="20"/>
        </w:rPr>
        <w:t>Waszek</w:t>
      </w:r>
      <w:proofErr w:type="spellEnd"/>
      <w:r w:rsidRPr="00A60094">
        <w:rPr>
          <w:rFonts w:ascii="Garamond" w:hAnsi="Garamond" w:cs="Garamond"/>
          <w:sz w:val="20"/>
          <w:szCs w:val="20"/>
        </w:rPr>
        <w:t xml:space="preserve"> [Revue Germanique Internationale. No. 15]. Paris, PUF, 2001, pp. 211-238. ISBN: 2-13-051487-1.</w:t>
      </w:r>
      <w:r>
        <w:rPr>
          <w:rFonts w:ascii="Garamond" w:hAnsi="Garamond" w:cs="Garamond"/>
          <w:sz w:val="20"/>
          <w:szCs w:val="20"/>
        </w:rPr>
        <w:t xml:space="preserve"> Cet article est accessible sur internet : </w:t>
      </w:r>
      <w:hyperlink r:id="rId9" w:history="1">
        <w:r w:rsidRPr="000A28AF">
          <w:rPr>
            <w:rStyle w:val="Lienhypertexte"/>
            <w:rFonts w:ascii="Garamond" w:hAnsi="Garamond" w:cs="Garamond"/>
            <w:sz w:val="20"/>
            <w:szCs w:val="20"/>
          </w:rPr>
          <w:t>http://rgi.revues.org/839</w:t>
        </w:r>
      </w:hyperlink>
    </w:p>
    <w:p w:rsidR="00E45610" w:rsidRDefault="00E45610"/>
    <w:sectPr w:rsidR="00E45610" w:rsidSect="00F36676">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orps CS)">
    <w:altName w:val="Times New Roman"/>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60"/>
    <w:rsid w:val="000B4900"/>
    <w:rsid w:val="0011448D"/>
    <w:rsid w:val="00180610"/>
    <w:rsid w:val="001F0B02"/>
    <w:rsid w:val="00255BE8"/>
    <w:rsid w:val="0026442A"/>
    <w:rsid w:val="002F0D34"/>
    <w:rsid w:val="00365560"/>
    <w:rsid w:val="00477AED"/>
    <w:rsid w:val="004815E6"/>
    <w:rsid w:val="004B5249"/>
    <w:rsid w:val="005F0B0E"/>
    <w:rsid w:val="0063460C"/>
    <w:rsid w:val="00663D8F"/>
    <w:rsid w:val="007B0AAF"/>
    <w:rsid w:val="008B09F7"/>
    <w:rsid w:val="00947BDE"/>
    <w:rsid w:val="00A80BD9"/>
    <w:rsid w:val="00A852F6"/>
    <w:rsid w:val="00C65F76"/>
    <w:rsid w:val="00C93EE4"/>
    <w:rsid w:val="00D4797D"/>
    <w:rsid w:val="00E23562"/>
    <w:rsid w:val="00E45610"/>
    <w:rsid w:val="00EE02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114D96D-19A2-CC40-BA19-BDC31902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Corps CS)"/>
        <w:sz w:val="24"/>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65560"/>
    <w:pPr>
      <w:jc w:val="left"/>
    </w:pPr>
    <w:rPr>
      <w:rFonts w:eastAsia="Times New Roman"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655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bertwaszek.free.fr" TargetMode="External"/><Relationship Id="rId3" Type="http://schemas.openxmlformats.org/officeDocument/2006/relationships/webSettings" Target="webSettings.xml"/><Relationship Id="rId7" Type="http://schemas.openxmlformats.org/officeDocument/2006/relationships/hyperlink" Target="mailto:norbert.waszek@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irn.info/revue-pole-sud-2005-1-page-39.htm" TargetMode="External"/><Relationship Id="rId11" Type="http://schemas.openxmlformats.org/officeDocument/2006/relationships/theme" Target="theme/theme1.xml"/><Relationship Id="rId5" Type="http://schemas.openxmlformats.org/officeDocument/2006/relationships/hyperlink" Target="mailto:xavier.tabet@wanadoo.fr" TargetMode="External"/><Relationship Id="rId10" Type="http://schemas.openxmlformats.org/officeDocument/2006/relationships/fontTable" Target="fontTable.xml"/><Relationship Id="rId4" Type="http://schemas.openxmlformats.org/officeDocument/2006/relationships/hyperlink" Target="mailto:xavier.tabet@wanadoo.fr" TargetMode="External"/><Relationship Id="rId9" Type="http://schemas.openxmlformats.org/officeDocument/2006/relationships/hyperlink" Target="http://rgi.revues.org/839"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1653</Words>
  <Characters>9095</Characters>
  <Application>Microsoft Office Word</Application>
  <DocSecurity>4</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avs consultant</dc:creator>
  <cp:keywords/>
  <dc:description/>
  <cp:lastModifiedBy>Julien Desnoyers</cp:lastModifiedBy>
  <cp:revision>2</cp:revision>
  <dcterms:created xsi:type="dcterms:W3CDTF">2019-09-17T08:45:00Z</dcterms:created>
  <dcterms:modified xsi:type="dcterms:W3CDTF">2019-09-17T08:45:00Z</dcterms:modified>
</cp:coreProperties>
</file>