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58" w:rsidRDefault="008F0DAD">
      <w:pPr>
        <w:pStyle w:val="CorpsA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Langages et figures de la politique et de l’ordre international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LEEI L1 / S2, 2021/2022, Jean-Louis </w:t>
      </w:r>
      <w:proofErr w:type="spellStart"/>
      <w:r>
        <w:rPr>
          <w:sz w:val="28"/>
          <w:szCs w:val="28"/>
        </w:rPr>
        <w:t>Fournel</w:t>
      </w:r>
      <w:proofErr w:type="spellEnd"/>
      <w:r>
        <w:rPr>
          <w:sz w:val="28"/>
          <w:szCs w:val="28"/>
        </w:rPr>
        <w:t xml:space="preserve"> et Xavier Tabet (département d’études italiennes), le mercredi de 12 h à 15 h</w:t>
      </w:r>
    </w:p>
    <w:p w:rsidR="009D4358" w:rsidRDefault="009D4358">
      <w:pPr>
        <w:pStyle w:val="CorpsA"/>
        <w:jc w:val="both"/>
        <w:rPr>
          <w:sz w:val="28"/>
          <w:szCs w:val="28"/>
        </w:rPr>
      </w:pPr>
      <w:bookmarkStart w:id="0" w:name="_GoBack"/>
      <w:bookmarkEnd w:id="0"/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codes</w:t>
      </w:r>
      <w:proofErr w:type="gramEnd"/>
      <w:r>
        <w:rPr>
          <w:sz w:val="28"/>
          <w:szCs w:val="28"/>
        </w:rPr>
        <w:t xml:space="preserve"> APOGEE : </w:t>
      </w:r>
    </w:p>
    <w:p w:rsidR="009D4358" w:rsidRDefault="008F0DAD">
      <w:pPr>
        <w:pStyle w:val="CorpsA"/>
        <w:jc w:val="both"/>
        <w:rPr>
          <w:sz w:val="28"/>
          <w:szCs w:val="28"/>
        </w:rPr>
      </w:pPr>
      <w:r>
        <w:rPr>
          <w:sz w:val="28"/>
          <w:szCs w:val="28"/>
        </w:rPr>
        <w:t>DL52EM01 (Formation de l’ordre internationale)</w:t>
      </w:r>
    </w:p>
    <w:p w:rsidR="009D4358" w:rsidRDefault="008F0DAD">
      <w:pPr>
        <w:pStyle w:val="CorpsA"/>
        <w:jc w:val="both"/>
        <w:rPr>
          <w:sz w:val="28"/>
          <w:szCs w:val="28"/>
        </w:rPr>
      </w:pPr>
      <w:r>
        <w:rPr>
          <w:sz w:val="28"/>
          <w:szCs w:val="28"/>
        </w:rPr>
        <w:t>DL52EM02 (Histoire des langages politiques)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Descriptif du cours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cours interrogera, au début, les mutations de la politique qui adviennent à l’âge moderne, lorsque l’on passe, après à la fin du </w:t>
      </w:r>
      <w:proofErr w:type="spellStart"/>
      <w:r>
        <w:rPr>
          <w:sz w:val="28"/>
          <w:szCs w:val="28"/>
        </w:rPr>
        <w:t>moyen-â</w:t>
      </w:r>
      <w:r>
        <w:rPr>
          <w:sz w:val="28"/>
          <w:szCs w:val="28"/>
          <w:lang w:val="de-DE"/>
        </w:rPr>
        <w:t>ge</w:t>
      </w:r>
      <w:proofErr w:type="spellEnd"/>
      <w:r>
        <w:rPr>
          <w:sz w:val="28"/>
          <w:szCs w:val="28"/>
          <w:lang w:val="de-DE"/>
        </w:rPr>
        <w:t>, d</w:t>
      </w:r>
      <w:r>
        <w:rPr>
          <w:sz w:val="28"/>
          <w:szCs w:val="28"/>
        </w:rPr>
        <w:t>’un univers dominé par le droit à celui dominé</w:t>
      </w:r>
      <w:r>
        <w:rPr>
          <w:sz w:val="28"/>
          <w:szCs w:val="28"/>
        </w:rPr>
        <w:t xml:space="preserve"> par « l’état de guerre</w:t>
      </w:r>
      <w:r>
        <w:rPr>
          <w:sz w:val="28"/>
          <w:szCs w:val="28"/>
          <w:lang w:val="it-IT"/>
        </w:rPr>
        <w:t xml:space="preserve"> » </w:t>
      </w:r>
      <w:r>
        <w:rPr>
          <w:sz w:val="28"/>
          <w:szCs w:val="28"/>
        </w:rPr>
        <w:t xml:space="preserve">et par les réalités de la nouvelle diplomatie et de la politique des cours </w:t>
      </w:r>
      <w:proofErr w:type="spellStart"/>
      <w:r>
        <w:rPr>
          <w:sz w:val="28"/>
          <w:szCs w:val="28"/>
        </w:rPr>
        <w:t>princiè</w:t>
      </w:r>
      <w:proofErr w:type="spellEnd"/>
      <w:r>
        <w:rPr>
          <w:sz w:val="28"/>
          <w:szCs w:val="28"/>
          <w:lang w:val="pt-PT"/>
        </w:rPr>
        <w:t xml:space="preserve">res. </w:t>
      </w:r>
      <w:r>
        <w:rPr>
          <w:sz w:val="28"/>
          <w:szCs w:val="28"/>
        </w:rPr>
        <w:t>Un des chemins empruntés pour ce faire sera de questionner l’émergence de nouveaux langages de la politique. Seront ainsi étudiées les transfor</w:t>
      </w:r>
      <w:r>
        <w:rPr>
          <w:sz w:val="28"/>
          <w:szCs w:val="28"/>
        </w:rPr>
        <w:t>mations des notions et catégories politiques à partir du moment o</w:t>
      </w:r>
      <w:r>
        <w:rPr>
          <w:sz w:val="28"/>
          <w:szCs w:val="28"/>
          <w:lang w:val="it-IT"/>
        </w:rPr>
        <w:t xml:space="preserve">ù </w:t>
      </w:r>
      <w:r>
        <w:rPr>
          <w:sz w:val="28"/>
          <w:szCs w:val="28"/>
        </w:rPr>
        <w:t>la guerre devient permanente et globalisée - à compter de la fin du XVe siècle - puis à partir du moment où la question de la gestion de la population (hygiène, santé, police, etc.) devient</w:t>
      </w:r>
      <w:r>
        <w:rPr>
          <w:sz w:val="28"/>
          <w:szCs w:val="28"/>
        </w:rPr>
        <w:t xml:space="preserve"> pré</w:t>
      </w:r>
      <w:r>
        <w:rPr>
          <w:sz w:val="28"/>
          <w:szCs w:val="28"/>
          <w:lang w:val="it-IT"/>
        </w:rPr>
        <w:t xml:space="preserve">dominante, </w:t>
      </w:r>
      <w:r>
        <w:rPr>
          <w:sz w:val="28"/>
          <w:szCs w:val="28"/>
        </w:rPr>
        <w:t>entre XVIIe et XVIIIe siècles. On examinera par la suite la fa</w:t>
      </w:r>
      <w:r>
        <w:rPr>
          <w:sz w:val="28"/>
          <w:szCs w:val="28"/>
          <w:lang w:val="pt-PT"/>
        </w:rPr>
        <w:t>ç</w:t>
      </w:r>
      <w:r>
        <w:rPr>
          <w:sz w:val="28"/>
          <w:szCs w:val="28"/>
        </w:rPr>
        <w:t xml:space="preserve">on dont la révolution </w:t>
      </w:r>
      <w:proofErr w:type="spellStart"/>
      <w:r>
        <w:rPr>
          <w:sz w:val="28"/>
          <w:szCs w:val="28"/>
        </w:rPr>
        <w:t>fran</w:t>
      </w:r>
      <w:proofErr w:type="spellEnd"/>
      <w:r>
        <w:rPr>
          <w:sz w:val="28"/>
          <w:szCs w:val="28"/>
          <w:lang w:val="pt-PT"/>
        </w:rPr>
        <w:t>ç</w:t>
      </w:r>
      <w:r>
        <w:rPr>
          <w:sz w:val="28"/>
          <w:szCs w:val="28"/>
        </w:rPr>
        <w:t xml:space="preserve">aise </w:t>
      </w:r>
      <w:proofErr w:type="spellStart"/>
      <w:r>
        <w:rPr>
          <w:sz w:val="28"/>
          <w:szCs w:val="28"/>
        </w:rPr>
        <w:t>repré</w:t>
      </w:r>
      <w:r>
        <w:rPr>
          <w:sz w:val="28"/>
          <w:szCs w:val="28"/>
          <w:lang w:val="es-ES_tradnl"/>
        </w:rPr>
        <w:t>sente</w:t>
      </w:r>
      <w:proofErr w:type="spellEnd"/>
      <w:r>
        <w:rPr>
          <w:sz w:val="28"/>
          <w:szCs w:val="28"/>
          <w:lang w:val="es-ES_tradnl"/>
        </w:rPr>
        <w:t>, en d</w:t>
      </w:r>
      <w:r>
        <w:rPr>
          <w:sz w:val="28"/>
          <w:szCs w:val="28"/>
        </w:rPr>
        <w:t>épit de certaines continuités entre Ancien Régime et Révolution, une rupture importante dans la conception de la politique et dans</w:t>
      </w:r>
      <w:r>
        <w:rPr>
          <w:sz w:val="28"/>
          <w:szCs w:val="28"/>
        </w:rPr>
        <w:t xml:space="preserve"> ses langages. On </w:t>
      </w:r>
      <w:proofErr w:type="gramStart"/>
      <w:r>
        <w:rPr>
          <w:sz w:val="28"/>
          <w:szCs w:val="28"/>
        </w:rPr>
        <w:t>montrera</w:t>
      </w:r>
      <w:proofErr w:type="gramEnd"/>
      <w:r>
        <w:rPr>
          <w:sz w:val="28"/>
          <w:szCs w:val="28"/>
        </w:rPr>
        <w:t xml:space="preserve"> la fa</w:t>
      </w:r>
      <w:r>
        <w:rPr>
          <w:sz w:val="28"/>
          <w:szCs w:val="28"/>
          <w:lang w:val="pt-PT"/>
        </w:rPr>
        <w:t>ç</w:t>
      </w:r>
      <w:r>
        <w:rPr>
          <w:sz w:val="28"/>
          <w:szCs w:val="28"/>
        </w:rPr>
        <w:t xml:space="preserve">on dont les représentations et imaginaires politiques sont par la suite réinvestis au XXe siècle, au siècle des totalitarismes. Aujourd’hui, l’horizon des libertés individuelles, dans un mouvement inverse, semble s’être </w:t>
      </w:r>
      <w:proofErr w:type="spellStart"/>
      <w:r>
        <w:rPr>
          <w:sz w:val="28"/>
          <w:szCs w:val="28"/>
        </w:rPr>
        <w:t>rét</w:t>
      </w:r>
      <w:r>
        <w:rPr>
          <w:sz w:val="28"/>
          <w:szCs w:val="28"/>
        </w:rPr>
        <w:t>réc</w:t>
      </w:r>
      <w:proofErr w:type="spellEnd"/>
      <w:r>
        <w:rPr>
          <w:sz w:val="28"/>
          <w:szCs w:val="28"/>
        </w:rPr>
        <w:t xml:space="preserve">, à mesure que le monde s’est élargi et qu’a augmentée la demande de sécurité, y compris sanitaire à l’époque de la COVID. Seront ainsi évoqués certains des risques de la permanence actuelle, voire du renforcement, du « pacte sécuritaire », qui inscrit </w:t>
      </w:r>
      <w:r>
        <w:rPr>
          <w:sz w:val="28"/>
          <w:szCs w:val="28"/>
        </w:rPr>
        <w:t xml:space="preserve">l’exception au cœur de la politique. 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Planning du cours 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  1</w:t>
      </w:r>
      <w:proofErr w:type="gramEnd"/>
      <w:r>
        <w:rPr>
          <w:sz w:val="28"/>
          <w:szCs w:val="28"/>
        </w:rPr>
        <w:t xml:space="preserve"> (mercredi 26 janvier 2022) </w:t>
      </w:r>
    </w:p>
    <w:p w:rsidR="009D4358" w:rsidRDefault="008F0DAD">
      <w:pPr>
        <w:pStyle w:val="Corps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principaux moments de l’ordre mondial et européen première </w:t>
      </w:r>
      <w:proofErr w:type="gramStart"/>
      <w:r>
        <w:rPr>
          <w:sz w:val="28"/>
          <w:szCs w:val="28"/>
        </w:rPr>
        <w:t>partie:</w:t>
      </w:r>
      <w:proofErr w:type="gramEnd"/>
      <w:r>
        <w:rPr>
          <w:sz w:val="28"/>
          <w:szCs w:val="28"/>
        </w:rPr>
        <w:t xml:space="preserve"> Ancien Régime (jusqu’à la Révolution française) ; définition des notions d’Ancien. Régim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>et  des</w:t>
      </w:r>
      <w:proofErr w:type="gramEnd"/>
      <w:r>
        <w:rPr>
          <w:sz w:val="28"/>
          <w:szCs w:val="28"/>
        </w:rPr>
        <w:t xml:space="preserve"> déclinaisons et tensions </w:t>
      </w:r>
      <w:proofErr w:type="spellStart"/>
      <w:r>
        <w:rPr>
          <w:sz w:val="28"/>
          <w:szCs w:val="28"/>
        </w:rPr>
        <w:t>posssibles</w:t>
      </w:r>
      <w:proofErr w:type="spellEnd"/>
      <w:r>
        <w:rPr>
          <w:sz w:val="28"/>
          <w:szCs w:val="28"/>
        </w:rPr>
        <w:t xml:space="preserve"> dans l’ordre international </w:t>
      </w:r>
    </w:p>
    <w:p w:rsidR="009D4358" w:rsidRDefault="008F0DAD">
      <w:pPr>
        <w:pStyle w:val="Corps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Jean-Louis </w:t>
      </w:r>
      <w:proofErr w:type="spellStart"/>
      <w:r>
        <w:rPr>
          <w:sz w:val="28"/>
          <w:szCs w:val="28"/>
        </w:rPr>
        <w:t>Fournel</w:t>
      </w:r>
      <w:proofErr w:type="spellEnd"/>
      <w:r>
        <w:rPr>
          <w:sz w:val="28"/>
          <w:szCs w:val="28"/>
        </w:rPr>
        <w:t xml:space="preserve"> (JLF)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2 (mercredi 2 février 2022) :</w:t>
      </w:r>
    </w:p>
    <w:p w:rsidR="009D4358" w:rsidRDefault="008F0DAD">
      <w:pPr>
        <w:pStyle w:val="Corps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Les principaux moments de l’ordre mondial et européen deuxième partie :  XIXe-XXIe siècle Xavier Tabet (XT)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3 (</w:t>
      </w:r>
      <w:r>
        <w:rPr>
          <w:sz w:val="28"/>
          <w:szCs w:val="28"/>
        </w:rPr>
        <w:t xml:space="preserve">9 février 2022) : La langue de la politique dans l’Ancien Régime : Etat, tyrannie, liberté, JLF 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4 (16 février 2022) : Un auteur européen en guerre et ses lectures : Machiavel, anti-machiavélisme et raison d’état JLF (illustration du cours du 9 fév</w:t>
      </w:r>
      <w:r>
        <w:rPr>
          <w:sz w:val="28"/>
          <w:szCs w:val="28"/>
        </w:rPr>
        <w:t>rier)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5 (23 février 2022) : Une heure de DST 1</w:t>
      </w:r>
    </w:p>
    <w:p w:rsidR="009D4358" w:rsidRDefault="008F0DAD">
      <w:pPr>
        <w:pStyle w:val="CorpsA"/>
        <w:jc w:val="both"/>
        <w:rPr>
          <w:sz w:val="28"/>
          <w:szCs w:val="28"/>
        </w:rPr>
      </w:pPr>
      <w:r>
        <w:rPr>
          <w:sz w:val="28"/>
          <w:szCs w:val="28"/>
        </w:rPr>
        <w:t>Les mots du droit et de la politique : de la justice d’ancien régime à la justice contemporaine XT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6 (9 mars 2022) : Etats, Nations, Racisme : un nouvel ordre contemporain après la Révolution </w:t>
      </w:r>
      <w:r>
        <w:rPr>
          <w:sz w:val="28"/>
          <w:szCs w:val="28"/>
        </w:rPr>
        <w:t>française (XIXe-XXe siècles) XT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7 (16 mars 2022): Système des langues, traduction et politique de l’Ancien Régime à nos jours première partie JLF 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8 (23 mars 2022) : Système des langues, traduction et politique de l’Ancien Régime à nos jour</w:t>
      </w:r>
      <w:r>
        <w:rPr>
          <w:sz w:val="28"/>
          <w:szCs w:val="28"/>
        </w:rPr>
        <w:t>s deuxième partie  JLF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9 (30 mars 2022) : La langue des totalitarismes du XXe siècle et le droit face au crime contre l’humanité XT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10 (6 avril 2022) : Les mots du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 et la crise de la globalisation XT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11 (13 avril 2022) :  </w:t>
      </w:r>
      <w:r>
        <w:rPr>
          <w:sz w:val="28"/>
          <w:szCs w:val="28"/>
        </w:rPr>
        <w:t>devoir sur table / partiel DST 2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séance</w:t>
      </w:r>
      <w:proofErr w:type="gramEnd"/>
      <w:r>
        <w:rPr>
          <w:sz w:val="28"/>
          <w:szCs w:val="28"/>
        </w:rPr>
        <w:t xml:space="preserve"> 12 (20 avril 2022)  : éléments de conclusion et rendu du partiel du 13 avril et conclusions du cours (par JLF et XT) 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Synopsis  et</w:t>
      </w:r>
      <w:proofErr w:type="gramEnd"/>
      <w:r>
        <w:rPr>
          <w:b/>
          <w:bCs/>
          <w:sz w:val="28"/>
          <w:szCs w:val="28"/>
        </w:rPr>
        <w:t xml:space="preserve"> Chronologie raisonnée</w:t>
      </w:r>
    </w:p>
    <w:p w:rsidR="009D4358" w:rsidRDefault="009D4358">
      <w:pPr>
        <w:pStyle w:val="CorpsA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>1494-1789 : Guerre et Droit (lire la conclusion de</w:t>
      </w:r>
      <w:r>
        <w:rPr>
          <w:i/>
          <w:iCs/>
          <w:sz w:val="28"/>
          <w:szCs w:val="28"/>
        </w:rPr>
        <w:t xml:space="preserve"> L’art de</w:t>
      </w:r>
      <w:r>
        <w:rPr>
          <w:i/>
          <w:iCs/>
          <w:sz w:val="28"/>
          <w:szCs w:val="28"/>
        </w:rPr>
        <w:t xml:space="preserve"> la guerre</w:t>
      </w:r>
      <w:r>
        <w:rPr>
          <w:sz w:val="28"/>
          <w:szCs w:val="28"/>
        </w:rPr>
        <w:t xml:space="preserve"> (1521) de Machiavel et le </w:t>
      </w:r>
      <w:proofErr w:type="spellStart"/>
      <w:r>
        <w:rPr>
          <w:sz w:val="28"/>
          <w:szCs w:val="28"/>
        </w:rPr>
        <w:t>chapire</w:t>
      </w:r>
      <w:proofErr w:type="spellEnd"/>
      <w:r>
        <w:rPr>
          <w:sz w:val="28"/>
          <w:szCs w:val="28"/>
        </w:rPr>
        <w:t xml:space="preserve"> XXVIII des </w:t>
      </w:r>
      <w:r>
        <w:rPr>
          <w:i/>
          <w:iCs/>
          <w:sz w:val="28"/>
          <w:szCs w:val="28"/>
        </w:rPr>
        <w:t>Délits et des peines</w:t>
      </w:r>
      <w:r>
        <w:rPr>
          <w:sz w:val="28"/>
          <w:szCs w:val="28"/>
        </w:rPr>
        <w:t xml:space="preserve"> de Beccaria (1764), sur l’abolition de la peine de </w:t>
      </w:r>
      <w:proofErr w:type="gramStart"/>
      <w:r>
        <w:rPr>
          <w:sz w:val="28"/>
          <w:szCs w:val="28"/>
        </w:rPr>
        <w:t>mort )</w:t>
      </w:r>
      <w:proofErr w:type="gramEnd"/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1789-1870 : Réformes et Révolution (lire les </w:t>
      </w:r>
      <w:r>
        <w:rPr>
          <w:i/>
          <w:iCs/>
          <w:sz w:val="28"/>
          <w:szCs w:val="28"/>
        </w:rPr>
        <w:t>Déclaration des droits de l’homme</w:t>
      </w:r>
      <w:r>
        <w:rPr>
          <w:sz w:val="28"/>
          <w:szCs w:val="28"/>
        </w:rPr>
        <w:t>, de 1789 et 1793)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1870-1920 : Nationalis</w:t>
      </w:r>
      <w:r>
        <w:rPr>
          <w:sz w:val="28"/>
          <w:szCs w:val="28"/>
        </w:rPr>
        <w:t>me et impérialisme (lire le discours de Jaurès de juillet 1914)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>1920-1948 : Totalitarisme et nouvel ordre international (lire la Charte de L’Onu de 1948, la définition du « crime contre l’humanité » au procès de Nuremberg en 1945-46, et le discours de Chu</w:t>
      </w:r>
      <w:r>
        <w:rPr>
          <w:sz w:val="28"/>
          <w:szCs w:val="28"/>
        </w:rPr>
        <w:t xml:space="preserve">rchill sur le rideau de fer en mars 1946).  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1948-1989 : Décolonisation et nouvelle Europe (lire une page de Albert Memmi, </w:t>
      </w:r>
      <w:r>
        <w:rPr>
          <w:i/>
          <w:iCs/>
          <w:sz w:val="28"/>
          <w:szCs w:val="28"/>
        </w:rPr>
        <w:t xml:space="preserve">Portrait du colonisateur </w:t>
      </w:r>
      <w:r>
        <w:rPr>
          <w:sz w:val="28"/>
          <w:szCs w:val="28"/>
        </w:rPr>
        <w:t>(1957), et la Déclaration de Robert Schuman de 1950)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>1989-2020 : Globalisation et déré</w:t>
      </w:r>
      <w:r>
        <w:rPr>
          <w:sz w:val="28"/>
          <w:szCs w:val="28"/>
        </w:rPr>
        <w:t>gulation (lire le texte de Bruno Latour sur les « gestes- barrières », et l’article du Monde sur la commémoration de la chute du mur de Berlin, https://www.lemonde.fr/international/article/2019/11/09/chute-du-mur-le-president-allemand-demande-du-respect-a-</w:t>
      </w:r>
      <w:r>
        <w:rPr>
          <w:sz w:val="28"/>
          <w:szCs w:val="28"/>
        </w:rPr>
        <w:t>trump-merkel-exhorte-a-defendre-la-liberte-et-la-democratie_6018639_3210.html)</w:t>
      </w:r>
    </w:p>
    <w:p w:rsidR="009D4358" w:rsidRDefault="008F0DAD">
      <w:pPr>
        <w:pStyle w:val="CorpsB"/>
        <w:jc w:val="both"/>
        <w:rPr>
          <w:rFonts w:ascii="Helvetica" w:eastAsia="Helvetica" w:hAnsi="Helvetica" w:cs="Helvetica"/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9D4358" w:rsidRDefault="008F0DAD">
      <w:pPr>
        <w:pStyle w:val="Corps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4. Présentation du cours  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>a. Qu’est-ce que ce cours ? 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cours propose la fusion de deux cours de 18h (valant pour 3 ECTS chacun). Dans la maquette ces cours figurent </w:t>
      </w:r>
      <w:r>
        <w:rPr>
          <w:sz w:val="28"/>
          <w:szCs w:val="28"/>
        </w:rPr>
        <w:t>sous les titres « Formation de l’ordre international contemporain » et « Histoire des langages politiques modernes » (tous les deux sont dans l’UE n° 5 Savoirs fondamentaux 2).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y aura une seule validation pour les deux cours avec deux notes au minimum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 xml:space="preserve"> DST 1 et DST 2) note qui comptera deux fois</w:t>
      </w: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Cette validation se fera donc par deux Devoirs sur Table, un devoir court d’une heure le 23 février et l’autre plus long de 3h le 13 avril, </w:t>
      </w:r>
      <w:r>
        <w:rPr>
          <w:sz w:val="28"/>
          <w:szCs w:val="28"/>
        </w:rPr>
        <w:t xml:space="preserve">portant sur des questions de cours. </w:t>
      </w: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>Il sera aussi possible de façon</w:t>
      </w:r>
      <w:r>
        <w:rPr>
          <w:sz w:val="28"/>
          <w:szCs w:val="28"/>
        </w:rPr>
        <w:t xml:space="preserve"> facultative de rendre </w:t>
      </w:r>
      <w:r>
        <w:rPr>
          <w:b/>
          <w:bCs/>
          <w:sz w:val="28"/>
          <w:szCs w:val="28"/>
          <w:u w:val="single"/>
        </w:rPr>
        <w:t xml:space="preserve">avant le 6 avril </w:t>
      </w:r>
      <w:r>
        <w:rPr>
          <w:sz w:val="28"/>
          <w:szCs w:val="28"/>
        </w:rPr>
        <w:t>un commentaire d’un des textes étudiés au cours du semestre.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>b. Comment ce cours a-t-il été pensé ?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Après deux séances introductives assurées l’une par M. </w:t>
      </w:r>
      <w:proofErr w:type="spellStart"/>
      <w:r>
        <w:rPr>
          <w:sz w:val="28"/>
          <w:szCs w:val="28"/>
        </w:rPr>
        <w:t>Fournel</w:t>
      </w:r>
      <w:proofErr w:type="spellEnd"/>
      <w:r>
        <w:rPr>
          <w:sz w:val="28"/>
          <w:szCs w:val="28"/>
        </w:rPr>
        <w:t xml:space="preserve"> et l’autre par M. Tabet (les 26 janvier et 2 févrie</w:t>
      </w:r>
      <w:r>
        <w:rPr>
          <w:sz w:val="28"/>
          <w:szCs w:val="28"/>
        </w:rPr>
        <w:t xml:space="preserve">r 2022) qui ont </w:t>
      </w:r>
      <w:proofErr w:type="spellStart"/>
      <w:r>
        <w:rPr>
          <w:sz w:val="28"/>
          <w:szCs w:val="28"/>
        </w:rPr>
        <w:t>ppur</w:t>
      </w:r>
      <w:proofErr w:type="spellEnd"/>
      <w:r>
        <w:rPr>
          <w:sz w:val="28"/>
          <w:szCs w:val="28"/>
        </w:rPr>
        <w:t xml:space="preserve"> objet poser le cadre international de l’histoire contemporaine, suivront 8 séances d’approfondissement de ces jalons sur diverses questions, séances dans lesquelles se croiseront l’histoire des mots, du langage, des figures et de la po</w:t>
      </w:r>
      <w:r>
        <w:rPr>
          <w:sz w:val="28"/>
          <w:szCs w:val="28"/>
        </w:rPr>
        <w:t>litique, puis et une dernière séance de validation le 13 avril, avec rendu des devoirs le 20 avril.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partir de l’identification de sujets particuliers en fonction de nos compétences et de nos intérêts, on favorisera une articulation entre une réflexion s</w:t>
      </w:r>
      <w:r>
        <w:rPr>
          <w:sz w:val="28"/>
          <w:szCs w:val="28"/>
        </w:rPr>
        <w:t>ur l’ordre mondial (qui jusqu’au XIXe siècle est d’abord dans notre propos un ordre </w:t>
      </w:r>
      <w:r>
        <w:rPr>
          <w:i/>
          <w:iCs/>
          <w:sz w:val="28"/>
          <w:szCs w:val="28"/>
        </w:rPr>
        <w:t>européen</w:t>
      </w:r>
      <w:r>
        <w:rPr>
          <w:sz w:val="28"/>
          <w:szCs w:val="28"/>
        </w:rPr>
        <w:t>) et une réflexion sur les mots et les catégories de l’histoire politique.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>c. Principes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>Nous avons fait le choix de lier histoire politique et histoire sémantique</w:t>
      </w:r>
      <w:r>
        <w:rPr>
          <w:sz w:val="28"/>
          <w:szCs w:val="28"/>
        </w:rPr>
        <w:t xml:space="preserve"> en proposant une histoire de cet ordre politique mondial.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L’idée de « guerre » </w:t>
      </w:r>
      <w:proofErr w:type="gramStart"/>
      <w:r>
        <w:rPr>
          <w:sz w:val="28"/>
          <w:szCs w:val="28"/>
        </w:rPr>
        <w:t>comme  notion</w:t>
      </w:r>
      <w:proofErr w:type="gramEnd"/>
      <w:r>
        <w:rPr>
          <w:sz w:val="28"/>
          <w:szCs w:val="28"/>
        </w:rPr>
        <w:t xml:space="preserve"> et comme concept autant que comme récit et événement sera pour nous un fil rouge permettant de suivre les évolutions de la politique, du droit, de la justice int</w:t>
      </w:r>
      <w:r>
        <w:rPr>
          <w:sz w:val="28"/>
          <w:szCs w:val="28"/>
        </w:rPr>
        <w:t>ernationale et de l’idée européenne.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logique politico-juridique permet de ne pas reprendre la vieille histoire des relations internationales fondée sur la succession des batailles, des victoires, des défaites et des traités. 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>On montrera ainsi comment</w:t>
      </w:r>
      <w:r>
        <w:rPr>
          <w:sz w:val="28"/>
          <w:szCs w:val="28"/>
        </w:rPr>
        <w:t xml:space="preserve"> on passe d’une absence d’Europe dans un continent où prévaut la référence à l’unité impériale (Moyen Age) à une Europe des « Etats-puissances » (XVIe-XVIIe siècles), puis à une Europe des Etats-nations colonisateurs (XVIIIe-XIXe siècles), puis à un déclin</w:t>
      </w:r>
      <w:r>
        <w:rPr>
          <w:sz w:val="28"/>
          <w:szCs w:val="28"/>
        </w:rPr>
        <w:t xml:space="preserve"> de l’Europe comme continent hégémonique (première moitié du XXe siècle), et enfin à une renaissance de l’Europe dans l’Union Européenne, à partir du milieu du XXe siècle. </w:t>
      </w: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9D4358">
      <w:pPr>
        <w:pStyle w:val="CorpsB"/>
        <w:jc w:val="both"/>
        <w:rPr>
          <w:sz w:val="28"/>
          <w:szCs w:val="28"/>
        </w:rPr>
      </w:pPr>
    </w:p>
    <w:p w:rsidR="009D4358" w:rsidRDefault="008F0DAD">
      <w:pPr>
        <w:pStyle w:val="CorpsB"/>
        <w:jc w:val="both"/>
        <w:rPr>
          <w:sz w:val="28"/>
          <w:szCs w:val="28"/>
        </w:rPr>
      </w:pPr>
      <w:r>
        <w:rPr>
          <w:sz w:val="28"/>
          <w:szCs w:val="28"/>
        </w:rPr>
        <w:t>Dans chaque séance il y aura au moins une lecture de texte </w:t>
      </w:r>
    </w:p>
    <w:p w:rsidR="009D4358" w:rsidRDefault="008F0DAD">
      <w:pPr>
        <w:pStyle w:val="CorpsB"/>
        <w:jc w:val="both"/>
      </w:pPr>
      <w:r>
        <w:rPr>
          <w:sz w:val="28"/>
          <w:szCs w:val="28"/>
        </w:rPr>
        <w:t xml:space="preserve"> </w:t>
      </w:r>
    </w:p>
    <w:sectPr w:rsidR="009D435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DAD" w:rsidRDefault="008F0DAD">
      <w:r>
        <w:separator/>
      </w:r>
    </w:p>
  </w:endnote>
  <w:endnote w:type="continuationSeparator" w:id="0">
    <w:p w:rsidR="008F0DAD" w:rsidRDefault="008F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358" w:rsidRDefault="008F0DAD">
    <w:pPr>
      <w:pStyle w:val="Pieddepag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DAD" w:rsidRDefault="008F0DAD">
      <w:r>
        <w:separator/>
      </w:r>
    </w:p>
  </w:footnote>
  <w:footnote w:type="continuationSeparator" w:id="0">
    <w:p w:rsidR="008F0DAD" w:rsidRDefault="008F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358" w:rsidRDefault="009D43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1C9E"/>
    <w:multiLevelType w:val="hybridMultilevel"/>
    <w:tmpl w:val="2AD6B976"/>
    <w:styleLink w:val="Style1import"/>
    <w:lvl w:ilvl="0" w:tplc="67EC453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3AEDB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6AB4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4EE0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41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687E6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EAA5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A6C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C6BC0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D67A14"/>
    <w:multiLevelType w:val="hybridMultilevel"/>
    <w:tmpl w:val="2AD6B976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58"/>
    <w:rsid w:val="0067631E"/>
    <w:rsid w:val="008F0DAD"/>
    <w:rsid w:val="009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73FE4-7DA0-490A-8D60-EF66FDA8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2</cp:revision>
  <dcterms:created xsi:type="dcterms:W3CDTF">2022-01-26T09:12:00Z</dcterms:created>
  <dcterms:modified xsi:type="dcterms:W3CDTF">2022-01-26T09:12:00Z</dcterms:modified>
</cp:coreProperties>
</file>