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25AD" w14:textId="5E188B19" w:rsidR="00B713A5" w:rsidRDefault="003A7F4C" w:rsidP="001478D4">
      <w:pPr>
        <w:jc w:val="center"/>
        <w:rPr>
          <w:rFonts w:ascii="Arial" w:hAnsi="Arial" w:cs="Arial"/>
          <w:b/>
          <w:sz w:val="20"/>
          <w:lang w:val="fr-FR"/>
        </w:rPr>
      </w:pPr>
      <w:r w:rsidRPr="00D814E9">
        <w:rPr>
          <w:rFonts w:ascii="Arial" w:hAnsi="Arial" w:cs="Arial"/>
          <w:b/>
          <w:sz w:val="20"/>
          <w:lang w:val="fr-FR"/>
        </w:rPr>
        <w:t>EC transversaux offerts par le département de science politique</w:t>
      </w:r>
    </w:p>
    <w:p w14:paraId="33ECA5DD" w14:textId="77777777" w:rsidR="00497ED1" w:rsidRDefault="001478D4" w:rsidP="001478D4">
      <w:pPr>
        <w:jc w:val="center"/>
        <w:rPr>
          <w:rFonts w:ascii="Arial" w:hAnsi="Arial" w:cs="Arial"/>
          <w:b/>
          <w:sz w:val="20"/>
          <w:lang w:val="fr-FR"/>
        </w:rPr>
      </w:pPr>
      <w:r>
        <w:rPr>
          <w:rFonts w:ascii="Arial" w:hAnsi="Arial" w:cs="Arial"/>
          <w:b/>
          <w:sz w:val="20"/>
          <w:lang w:val="fr-FR"/>
        </w:rPr>
        <w:t xml:space="preserve">Master </w:t>
      </w:r>
    </w:p>
    <w:p w14:paraId="41466B4B" w14:textId="6FF8B961" w:rsidR="003A7F4C" w:rsidRPr="00D814E9" w:rsidRDefault="003A7F4C" w:rsidP="001478D4">
      <w:pPr>
        <w:jc w:val="center"/>
        <w:rPr>
          <w:rFonts w:ascii="Arial" w:hAnsi="Arial" w:cs="Arial"/>
          <w:b/>
          <w:sz w:val="20"/>
          <w:lang w:val="fr-FR"/>
        </w:rPr>
      </w:pPr>
      <w:bookmarkStart w:id="0" w:name="_GoBack"/>
      <w:bookmarkEnd w:id="0"/>
      <w:r w:rsidRPr="00D814E9">
        <w:rPr>
          <w:rFonts w:ascii="Arial" w:hAnsi="Arial" w:cs="Arial"/>
          <w:b/>
          <w:sz w:val="20"/>
          <w:lang w:val="fr-FR"/>
        </w:rPr>
        <w:t>Année 2020-2021</w:t>
      </w:r>
    </w:p>
    <w:p w14:paraId="7757974B" w14:textId="67EE5847" w:rsidR="003A7F4C" w:rsidRPr="00D814E9" w:rsidRDefault="003A7F4C" w:rsidP="001478D4">
      <w:pPr>
        <w:jc w:val="center"/>
        <w:rPr>
          <w:rFonts w:ascii="Arial" w:hAnsi="Arial" w:cs="Arial"/>
          <w:b/>
          <w:sz w:val="20"/>
          <w:lang w:val="fr-FR"/>
        </w:rPr>
      </w:pPr>
    </w:p>
    <w:p w14:paraId="3B1EC6F2" w14:textId="40B6544E" w:rsidR="00497ED1" w:rsidRPr="00497ED1" w:rsidRDefault="00497ED1" w:rsidP="00C05080">
      <w:pPr>
        <w:rPr>
          <w:rFonts w:ascii="Arial" w:hAnsi="Arial" w:cs="Arial"/>
          <w:color w:val="FF0000"/>
          <w:sz w:val="20"/>
          <w:lang w:val="fr-FR"/>
        </w:rPr>
      </w:pPr>
      <w:r w:rsidRPr="00497ED1">
        <w:rPr>
          <w:rFonts w:ascii="Arial" w:hAnsi="Arial" w:cs="Arial"/>
          <w:color w:val="FF0000"/>
          <w:sz w:val="20"/>
          <w:lang w:val="fr-FR"/>
        </w:rPr>
        <w:t>Attention au 1</w:t>
      </w:r>
      <w:r w:rsidRPr="00497ED1">
        <w:rPr>
          <w:rFonts w:ascii="Arial" w:hAnsi="Arial" w:cs="Arial"/>
          <w:color w:val="FF0000"/>
          <w:sz w:val="20"/>
          <w:vertAlign w:val="superscript"/>
          <w:lang w:val="fr-FR"/>
        </w:rPr>
        <w:t>er</w:t>
      </w:r>
      <w:r w:rsidRPr="00497ED1">
        <w:rPr>
          <w:rFonts w:ascii="Arial" w:hAnsi="Arial" w:cs="Arial"/>
          <w:color w:val="FF0000"/>
          <w:sz w:val="20"/>
          <w:lang w:val="fr-FR"/>
        </w:rPr>
        <w:t xml:space="preserve"> semestre ces cours débutent la semaine du 21/9. Les cours ont lieu en présentiel par demi-groupe :</w:t>
      </w:r>
    </w:p>
    <w:p w14:paraId="2DCD06E9" w14:textId="248C45E0" w:rsidR="00497ED1" w:rsidRPr="00497ED1" w:rsidRDefault="00497ED1" w:rsidP="00C05080">
      <w:pPr>
        <w:rPr>
          <w:rFonts w:ascii="Arial" w:hAnsi="Arial" w:cs="Arial"/>
          <w:color w:val="FF0000"/>
          <w:sz w:val="20"/>
          <w:lang w:val="fr-FR"/>
        </w:rPr>
      </w:pPr>
      <w:r w:rsidRPr="00497ED1">
        <w:rPr>
          <w:rFonts w:ascii="Arial" w:hAnsi="Arial" w:cs="Arial"/>
          <w:color w:val="FF0000"/>
          <w:sz w:val="20"/>
          <w:lang w:val="fr-FR"/>
        </w:rPr>
        <w:t>Semaine du 21/9 pour les étudiant.es dont le nom débute par la lettre A à L.</w:t>
      </w:r>
    </w:p>
    <w:p w14:paraId="34615E18" w14:textId="6E28F2AB" w:rsidR="00497ED1" w:rsidRPr="00497ED1" w:rsidRDefault="00497ED1" w:rsidP="00C05080">
      <w:pPr>
        <w:rPr>
          <w:rFonts w:ascii="Arial" w:hAnsi="Arial" w:cs="Arial"/>
          <w:color w:val="FF0000"/>
          <w:sz w:val="20"/>
          <w:lang w:val="fr-FR"/>
        </w:rPr>
      </w:pPr>
      <w:r w:rsidRPr="00497ED1">
        <w:rPr>
          <w:rFonts w:ascii="Arial" w:hAnsi="Arial" w:cs="Arial"/>
          <w:color w:val="FF0000"/>
          <w:sz w:val="20"/>
          <w:lang w:val="fr-FR"/>
        </w:rPr>
        <w:t>Semaine du 28/9 pour les étudiant.es dont le nom débute par la lettre M à Z.</w:t>
      </w:r>
    </w:p>
    <w:p w14:paraId="735D86F3" w14:textId="77777777" w:rsidR="00C05080" w:rsidRPr="007B798A" w:rsidRDefault="00C05080" w:rsidP="00C05080">
      <w:pPr>
        <w:rPr>
          <w:rFonts w:ascii="Arial" w:hAnsi="Arial" w:cs="Arial"/>
          <w:sz w:val="20"/>
          <w:lang w:val="fr-FR"/>
        </w:rPr>
      </w:pPr>
    </w:p>
    <w:tbl>
      <w:tblPr>
        <w:tblStyle w:val="Grilledutableau"/>
        <w:tblW w:w="14800" w:type="dxa"/>
        <w:tblInd w:w="-635" w:type="dxa"/>
        <w:tblLook w:val="04A0" w:firstRow="1" w:lastRow="0" w:firstColumn="1" w:lastColumn="0" w:noHBand="0" w:noVBand="1"/>
      </w:tblPr>
      <w:tblGrid>
        <w:gridCol w:w="2628"/>
        <w:gridCol w:w="1488"/>
        <w:gridCol w:w="1472"/>
        <w:gridCol w:w="2777"/>
        <w:gridCol w:w="6435"/>
      </w:tblGrid>
      <w:tr w:rsidR="001478D4" w:rsidRPr="009468B9" w14:paraId="0724FBE5" w14:textId="72540B88" w:rsidTr="001478D4">
        <w:tc>
          <w:tcPr>
            <w:tcW w:w="2628" w:type="dxa"/>
          </w:tcPr>
          <w:p w14:paraId="660F1EB2" w14:textId="77777777" w:rsidR="001478D4" w:rsidRPr="009468B9" w:rsidRDefault="001478D4" w:rsidP="00BB5DA3">
            <w:pPr>
              <w:rPr>
                <w:rFonts w:ascii="Arial" w:hAnsi="Arial" w:cs="Arial"/>
                <w:b/>
                <w:sz w:val="20"/>
              </w:rPr>
            </w:pPr>
            <w:r w:rsidRPr="009468B9">
              <w:rPr>
                <w:rFonts w:ascii="Arial" w:hAnsi="Arial" w:cs="Arial"/>
                <w:b/>
                <w:sz w:val="20"/>
              </w:rPr>
              <w:t>EC</w:t>
            </w:r>
          </w:p>
        </w:tc>
        <w:tc>
          <w:tcPr>
            <w:tcW w:w="1488" w:type="dxa"/>
          </w:tcPr>
          <w:p w14:paraId="6B5FE979" w14:textId="4A97EC06" w:rsidR="001478D4" w:rsidRPr="009468B9" w:rsidRDefault="001478D4" w:rsidP="00391B10">
            <w:pPr>
              <w:rPr>
                <w:rFonts w:ascii="Arial" w:hAnsi="Arial" w:cs="Arial"/>
                <w:b/>
                <w:sz w:val="20"/>
              </w:rPr>
            </w:pPr>
            <w:r>
              <w:rPr>
                <w:rFonts w:ascii="Arial" w:hAnsi="Arial" w:cs="Arial"/>
                <w:b/>
                <w:sz w:val="20"/>
              </w:rPr>
              <w:t>Code EC</w:t>
            </w:r>
          </w:p>
        </w:tc>
        <w:tc>
          <w:tcPr>
            <w:tcW w:w="1472" w:type="dxa"/>
          </w:tcPr>
          <w:p w14:paraId="36DF1805" w14:textId="61ECA14E" w:rsidR="001478D4" w:rsidRPr="00391B10" w:rsidRDefault="001478D4" w:rsidP="00BB5DA3">
            <w:pPr>
              <w:rPr>
                <w:rFonts w:ascii="Arial" w:hAnsi="Arial" w:cs="Arial"/>
                <w:b/>
                <w:sz w:val="20"/>
                <w:lang w:val="fr-FR"/>
              </w:rPr>
            </w:pPr>
            <w:r w:rsidRPr="00391B10">
              <w:rPr>
                <w:rFonts w:ascii="Arial" w:hAnsi="Arial" w:cs="Arial"/>
                <w:b/>
                <w:sz w:val="20"/>
                <w:lang w:val="fr-FR"/>
              </w:rPr>
              <w:t>Jour et heure (1er semestre)</w:t>
            </w:r>
          </w:p>
        </w:tc>
        <w:tc>
          <w:tcPr>
            <w:tcW w:w="2777" w:type="dxa"/>
          </w:tcPr>
          <w:p w14:paraId="7F44A2C2" w14:textId="12C1FBA1" w:rsidR="001478D4" w:rsidRPr="009468B9" w:rsidRDefault="001478D4" w:rsidP="00BB5DA3">
            <w:pPr>
              <w:rPr>
                <w:rFonts w:ascii="Arial" w:hAnsi="Arial" w:cs="Arial"/>
                <w:b/>
                <w:sz w:val="20"/>
              </w:rPr>
            </w:pPr>
            <w:r w:rsidRPr="009468B9">
              <w:rPr>
                <w:rFonts w:ascii="Arial" w:hAnsi="Arial" w:cs="Arial"/>
                <w:b/>
                <w:sz w:val="20"/>
              </w:rPr>
              <w:t>Enseignant.es</w:t>
            </w:r>
          </w:p>
        </w:tc>
        <w:tc>
          <w:tcPr>
            <w:tcW w:w="6435" w:type="dxa"/>
          </w:tcPr>
          <w:p w14:paraId="5FDB8259" w14:textId="702F8452" w:rsidR="001478D4" w:rsidRPr="009468B9" w:rsidRDefault="001478D4" w:rsidP="00BB5DA3">
            <w:pPr>
              <w:rPr>
                <w:rFonts w:ascii="Arial" w:hAnsi="Arial" w:cs="Arial"/>
                <w:b/>
                <w:sz w:val="20"/>
              </w:rPr>
            </w:pPr>
            <w:r w:rsidRPr="009468B9">
              <w:rPr>
                <w:rFonts w:ascii="Arial" w:hAnsi="Arial" w:cs="Arial"/>
                <w:b/>
                <w:sz w:val="20"/>
              </w:rPr>
              <w:t>Descriptif</w:t>
            </w:r>
          </w:p>
        </w:tc>
      </w:tr>
      <w:tr w:rsidR="001478D4" w:rsidRPr="00497ED1" w14:paraId="02C0095B" w14:textId="0C214CB4" w:rsidTr="00C80871">
        <w:tc>
          <w:tcPr>
            <w:tcW w:w="14800" w:type="dxa"/>
            <w:gridSpan w:val="5"/>
            <w:shd w:val="clear" w:color="auto" w:fill="E2EFD9" w:themeFill="accent6" w:themeFillTint="33"/>
          </w:tcPr>
          <w:p w14:paraId="3795FE6F" w14:textId="49E8683B" w:rsidR="001478D4" w:rsidRPr="00D764DC" w:rsidRDefault="001478D4" w:rsidP="009468B9">
            <w:pPr>
              <w:jc w:val="both"/>
              <w:rPr>
                <w:rFonts w:ascii="Arial" w:hAnsi="Arial" w:cs="Arial"/>
                <w:sz w:val="18"/>
                <w:szCs w:val="18"/>
                <w:lang w:val="fr-FR"/>
              </w:rPr>
            </w:pPr>
            <w:r>
              <w:rPr>
                <w:rFonts w:ascii="Arial" w:hAnsi="Arial" w:cs="Arial"/>
                <w:sz w:val="18"/>
                <w:szCs w:val="18"/>
                <w:lang w:val="fr-FR"/>
              </w:rPr>
              <w:t>Semestre 1 (cours délivrés en M2 de science politique)</w:t>
            </w:r>
          </w:p>
        </w:tc>
      </w:tr>
      <w:tr w:rsidR="001478D4" w:rsidRPr="00497ED1" w14:paraId="1EAFA539" w14:textId="77777777" w:rsidTr="001478D4">
        <w:tc>
          <w:tcPr>
            <w:tcW w:w="2628" w:type="dxa"/>
            <w:shd w:val="clear" w:color="auto" w:fill="auto"/>
          </w:tcPr>
          <w:p w14:paraId="099B674E" w14:textId="3B530A29" w:rsidR="001478D4" w:rsidRPr="009468B9" w:rsidRDefault="001478D4" w:rsidP="009468B9">
            <w:pPr>
              <w:jc w:val="both"/>
              <w:rPr>
                <w:rFonts w:ascii="Arial" w:hAnsi="Arial" w:cs="Arial"/>
                <w:sz w:val="20"/>
                <w:lang w:val="fr-FR"/>
              </w:rPr>
            </w:pPr>
            <w:r w:rsidRPr="009468B9">
              <w:rPr>
                <w:rFonts w:ascii="Arial" w:hAnsi="Arial" w:cs="Arial"/>
                <w:sz w:val="20"/>
                <w:lang w:val="fr-FR"/>
              </w:rPr>
              <w:t>Environnement et risques globaux</w:t>
            </w:r>
          </w:p>
        </w:tc>
        <w:tc>
          <w:tcPr>
            <w:tcW w:w="1488" w:type="dxa"/>
          </w:tcPr>
          <w:p w14:paraId="3B016038" w14:textId="52307D2F" w:rsidR="001478D4" w:rsidRPr="009468B9" w:rsidRDefault="001478D4" w:rsidP="009468B9">
            <w:pPr>
              <w:jc w:val="both"/>
              <w:rPr>
                <w:rFonts w:ascii="Arial" w:hAnsi="Arial" w:cs="Arial"/>
                <w:sz w:val="20"/>
                <w:lang w:val="fr-FR"/>
              </w:rPr>
            </w:pPr>
            <w:r w:rsidRPr="0050223D">
              <w:rPr>
                <w:rFonts w:ascii="Arial" w:hAnsi="Arial" w:cs="Arial"/>
                <w:sz w:val="20"/>
                <w:lang w:val="fr-FR"/>
              </w:rPr>
              <w:t>DHE3ET01</w:t>
            </w:r>
          </w:p>
        </w:tc>
        <w:tc>
          <w:tcPr>
            <w:tcW w:w="1472" w:type="dxa"/>
          </w:tcPr>
          <w:p w14:paraId="6EA15951" w14:textId="77777777" w:rsidR="001478D4" w:rsidRDefault="001478D4" w:rsidP="009468B9">
            <w:pPr>
              <w:jc w:val="both"/>
              <w:rPr>
                <w:rFonts w:ascii="Arial" w:hAnsi="Arial" w:cs="Arial"/>
                <w:sz w:val="20"/>
                <w:lang w:val="fr-FR"/>
              </w:rPr>
            </w:pPr>
            <w:r>
              <w:rPr>
                <w:rFonts w:ascii="Arial" w:hAnsi="Arial" w:cs="Arial"/>
                <w:sz w:val="20"/>
                <w:lang w:val="fr-FR"/>
              </w:rPr>
              <w:t>Lundi 12-15h</w:t>
            </w:r>
          </w:p>
          <w:p w14:paraId="1D4849CC" w14:textId="351093E2" w:rsidR="00497ED1" w:rsidRPr="009468B9" w:rsidRDefault="00497ED1" w:rsidP="009468B9">
            <w:pPr>
              <w:jc w:val="both"/>
              <w:rPr>
                <w:rFonts w:ascii="Arial" w:hAnsi="Arial" w:cs="Arial"/>
                <w:sz w:val="20"/>
                <w:lang w:val="fr-FR"/>
              </w:rPr>
            </w:pPr>
          </w:p>
        </w:tc>
        <w:tc>
          <w:tcPr>
            <w:tcW w:w="2777" w:type="dxa"/>
            <w:shd w:val="clear" w:color="auto" w:fill="auto"/>
          </w:tcPr>
          <w:p w14:paraId="5E3B4734" w14:textId="59381521" w:rsidR="001478D4" w:rsidRPr="00497ED1" w:rsidRDefault="001478D4" w:rsidP="009468B9">
            <w:pPr>
              <w:jc w:val="both"/>
              <w:rPr>
                <w:rFonts w:ascii="Arial" w:hAnsi="Arial" w:cs="Arial"/>
                <w:sz w:val="20"/>
              </w:rPr>
            </w:pPr>
            <w:r w:rsidRPr="00497ED1">
              <w:rPr>
                <w:rFonts w:ascii="Arial" w:hAnsi="Arial" w:cs="Arial"/>
                <w:sz w:val="20"/>
              </w:rPr>
              <w:t>Vanessa Nurock</w:t>
            </w:r>
          </w:p>
          <w:p w14:paraId="578F815B" w14:textId="77777777" w:rsidR="001478D4" w:rsidRPr="00497ED1" w:rsidRDefault="001478D4" w:rsidP="009468B9">
            <w:pPr>
              <w:jc w:val="both"/>
              <w:rPr>
                <w:rFonts w:ascii="Arial" w:hAnsi="Arial" w:cs="Arial"/>
                <w:sz w:val="20"/>
              </w:rPr>
            </w:pPr>
          </w:p>
          <w:p w14:paraId="29D6C2D3" w14:textId="181561DD" w:rsidR="001478D4" w:rsidRPr="00497ED1" w:rsidRDefault="001478D4" w:rsidP="001478D4">
            <w:pPr>
              <w:jc w:val="both"/>
              <w:rPr>
                <w:rFonts w:ascii="Arial" w:hAnsi="Arial" w:cs="Arial"/>
                <w:sz w:val="20"/>
              </w:rPr>
            </w:pPr>
            <w:r w:rsidRPr="00497ED1">
              <w:rPr>
                <w:rFonts w:ascii="Arial" w:hAnsi="Arial" w:cs="Arial"/>
                <w:sz w:val="20"/>
              </w:rPr>
              <w:t>vanessa.nurock@univ-paris8.fr</w:t>
            </w:r>
          </w:p>
        </w:tc>
        <w:tc>
          <w:tcPr>
            <w:tcW w:w="6435" w:type="dxa"/>
            <w:shd w:val="clear" w:color="auto" w:fill="auto"/>
          </w:tcPr>
          <w:p w14:paraId="2EFCE7EE" w14:textId="5CC55347" w:rsidR="001478D4" w:rsidRPr="00D764DC" w:rsidRDefault="001478D4" w:rsidP="009468B9">
            <w:pPr>
              <w:jc w:val="both"/>
              <w:rPr>
                <w:rFonts w:ascii="Arial" w:hAnsi="Arial" w:cs="Arial"/>
                <w:sz w:val="18"/>
                <w:szCs w:val="18"/>
                <w:lang w:val="fr-FR"/>
              </w:rPr>
            </w:pPr>
            <w:r w:rsidRPr="00A1783B">
              <w:rPr>
                <w:rFonts w:ascii="Arial" w:hAnsi="Arial" w:cs="Arial"/>
                <w:sz w:val="18"/>
                <w:szCs w:val="18"/>
                <w:lang w:val="fr-FR"/>
              </w:rPr>
              <w:t>Ce séminaire partira d’une analyse transculturelle des récits de débuts et de fins du monde pour développer, à partir d’exemples actuels, un examen de la question des risques globaux à partir du triangle nature/culture/artifice dans son articulation aux problèmes de politique et d’éthique environnementale et animale. On tentera notamment de montrer que la question des rapports entre les humains, les sociétés et l’environnement  se pense différemment selon la manière dont on envisage les relations de la nature à l’artifice technologique</w:t>
            </w:r>
            <w:r>
              <w:rPr>
                <w:rFonts w:ascii="Arial" w:hAnsi="Arial" w:cs="Arial"/>
                <w:sz w:val="18"/>
                <w:szCs w:val="18"/>
                <w:lang w:val="fr-FR"/>
              </w:rPr>
              <w:t>.</w:t>
            </w:r>
          </w:p>
        </w:tc>
      </w:tr>
      <w:tr w:rsidR="001478D4" w:rsidRPr="00497ED1" w14:paraId="7BBD219A" w14:textId="77777777" w:rsidTr="001478D4">
        <w:tc>
          <w:tcPr>
            <w:tcW w:w="2628" w:type="dxa"/>
            <w:shd w:val="clear" w:color="auto" w:fill="auto"/>
          </w:tcPr>
          <w:p w14:paraId="77EBB324" w14:textId="134D5988" w:rsidR="001478D4" w:rsidRPr="009468B9" w:rsidRDefault="001478D4" w:rsidP="009468B9">
            <w:pPr>
              <w:jc w:val="both"/>
              <w:rPr>
                <w:rFonts w:ascii="Arial" w:hAnsi="Arial" w:cs="Arial"/>
                <w:sz w:val="20"/>
                <w:lang w:val="fr-FR"/>
              </w:rPr>
            </w:pPr>
            <w:r w:rsidRPr="009468B9">
              <w:rPr>
                <w:rFonts w:ascii="Arial" w:hAnsi="Arial" w:cs="Arial"/>
                <w:sz w:val="20"/>
                <w:lang w:val="fr-FR"/>
              </w:rPr>
              <w:t>Circulations internationales des idées et transferts de normes</w:t>
            </w:r>
          </w:p>
        </w:tc>
        <w:tc>
          <w:tcPr>
            <w:tcW w:w="1488" w:type="dxa"/>
          </w:tcPr>
          <w:p w14:paraId="12DC6CC4" w14:textId="0164389E" w:rsidR="001478D4" w:rsidRPr="009468B9" w:rsidRDefault="001478D4" w:rsidP="009468B9">
            <w:pPr>
              <w:jc w:val="both"/>
              <w:rPr>
                <w:rFonts w:ascii="Arial" w:hAnsi="Arial" w:cs="Arial"/>
                <w:sz w:val="20"/>
                <w:lang w:val="fr-FR"/>
              </w:rPr>
            </w:pPr>
            <w:r w:rsidRPr="0050223D">
              <w:rPr>
                <w:rFonts w:ascii="Arial" w:hAnsi="Arial" w:cs="Arial"/>
                <w:sz w:val="20"/>
                <w:lang w:val="fr-FR"/>
              </w:rPr>
              <w:t>DHE3ET02</w:t>
            </w:r>
          </w:p>
        </w:tc>
        <w:tc>
          <w:tcPr>
            <w:tcW w:w="1472" w:type="dxa"/>
          </w:tcPr>
          <w:p w14:paraId="39B4032C" w14:textId="1A758EBA" w:rsidR="001478D4" w:rsidRPr="009468B9" w:rsidRDefault="001478D4" w:rsidP="009468B9">
            <w:pPr>
              <w:jc w:val="both"/>
              <w:rPr>
                <w:rFonts w:ascii="Arial" w:hAnsi="Arial" w:cs="Arial"/>
                <w:sz w:val="20"/>
                <w:lang w:val="fr-FR"/>
              </w:rPr>
            </w:pPr>
            <w:r>
              <w:rPr>
                <w:rFonts w:ascii="Arial" w:hAnsi="Arial" w:cs="Arial"/>
                <w:sz w:val="20"/>
                <w:lang w:val="fr-FR"/>
              </w:rPr>
              <w:t>Vendredi 12-15h</w:t>
            </w:r>
          </w:p>
        </w:tc>
        <w:tc>
          <w:tcPr>
            <w:tcW w:w="2777" w:type="dxa"/>
            <w:shd w:val="clear" w:color="auto" w:fill="auto"/>
          </w:tcPr>
          <w:p w14:paraId="5652D95E" w14:textId="77777777" w:rsidR="001478D4" w:rsidRDefault="001478D4" w:rsidP="009468B9">
            <w:pPr>
              <w:jc w:val="both"/>
              <w:rPr>
                <w:rFonts w:ascii="Arial" w:hAnsi="Arial" w:cs="Arial"/>
                <w:sz w:val="20"/>
                <w:lang w:val="fr-FR"/>
              </w:rPr>
            </w:pPr>
            <w:r w:rsidRPr="009468B9">
              <w:rPr>
                <w:rFonts w:ascii="Arial" w:hAnsi="Arial" w:cs="Arial"/>
                <w:sz w:val="20"/>
                <w:lang w:val="fr-FR"/>
              </w:rPr>
              <w:t>Mathieu Hauchecorne</w:t>
            </w:r>
          </w:p>
          <w:p w14:paraId="4DDBF6E1" w14:textId="77777777" w:rsidR="001478D4" w:rsidRDefault="001478D4" w:rsidP="009468B9">
            <w:pPr>
              <w:jc w:val="both"/>
              <w:rPr>
                <w:rFonts w:ascii="Arial" w:hAnsi="Arial" w:cs="Arial"/>
                <w:sz w:val="20"/>
                <w:lang w:val="fr-FR"/>
              </w:rPr>
            </w:pPr>
          </w:p>
          <w:p w14:paraId="28445428" w14:textId="5DA50B26" w:rsidR="001478D4" w:rsidRPr="009468B9" w:rsidRDefault="001478D4" w:rsidP="009468B9">
            <w:pPr>
              <w:jc w:val="both"/>
              <w:rPr>
                <w:rFonts w:ascii="Arial" w:hAnsi="Arial" w:cs="Arial"/>
                <w:sz w:val="20"/>
                <w:lang w:val="fr-FR"/>
              </w:rPr>
            </w:pPr>
            <w:r>
              <w:rPr>
                <w:rFonts w:ascii="Arial" w:hAnsi="Arial" w:cs="Arial"/>
                <w:sz w:val="20"/>
                <w:lang w:val="fr-FR"/>
              </w:rPr>
              <w:t>mathieu.hauchecorne@univ-paris8.fr</w:t>
            </w:r>
          </w:p>
        </w:tc>
        <w:tc>
          <w:tcPr>
            <w:tcW w:w="6435" w:type="dxa"/>
            <w:shd w:val="clear" w:color="auto" w:fill="auto"/>
          </w:tcPr>
          <w:p w14:paraId="605D418B" w14:textId="52CDDA09" w:rsidR="001478D4" w:rsidRPr="00D764DC" w:rsidRDefault="001478D4" w:rsidP="009468B9">
            <w:pPr>
              <w:jc w:val="both"/>
              <w:rPr>
                <w:rFonts w:ascii="Arial" w:hAnsi="Arial" w:cs="Arial"/>
                <w:sz w:val="18"/>
                <w:szCs w:val="18"/>
                <w:lang w:val="fr-FR"/>
              </w:rPr>
            </w:pPr>
            <w:r w:rsidRPr="00A1783B">
              <w:rPr>
                <w:rFonts w:ascii="Arial" w:hAnsi="Arial" w:cs="Arial"/>
                <w:sz w:val="18"/>
                <w:szCs w:val="18"/>
                <w:lang w:val="fr-FR"/>
              </w:rPr>
              <w:t>Comment les idées politiques et les savoirs circulent</w:t>
            </w:r>
            <w:r>
              <w:rPr>
                <w:rFonts w:ascii="Arial" w:hAnsi="Arial" w:cs="Arial"/>
                <w:sz w:val="18"/>
                <w:szCs w:val="18"/>
                <w:lang w:val="fr-FR"/>
              </w:rPr>
              <w:t>-ils à l’échelle transnationale ?</w:t>
            </w:r>
            <w:r w:rsidRPr="00A1783B">
              <w:rPr>
                <w:rFonts w:ascii="Arial" w:hAnsi="Arial" w:cs="Arial"/>
                <w:sz w:val="18"/>
                <w:szCs w:val="18"/>
                <w:lang w:val="fr-FR"/>
              </w:rPr>
              <w:t xml:space="preserve"> Pourquoi certains auteurs sont-ils traduits dans plusieurs langues quand d’autres demeurent lus essentiellement dans leur pays ? Quels facteurs favorisent le transfert de modèles politiques ou de programmes d’action pub</w:t>
            </w:r>
            <w:r>
              <w:rPr>
                <w:rFonts w:ascii="Arial" w:hAnsi="Arial" w:cs="Arial"/>
                <w:sz w:val="18"/>
                <w:szCs w:val="18"/>
                <w:lang w:val="fr-FR"/>
              </w:rPr>
              <w:t>lique entre différentes régions ?</w:t>
            </w:r>
            <w:r w:rsidRPr="00A1783B">
              <w:rPr>
                <w:rFonts w:ascii="Arial" w:hAnsi="Arial" w:cs="Arial"/>
                <w:sz w:val="18"/>
                <w:szCs w:val="18"/>
                <w:lang w:val="fr-FR"/>
              </w:rPr>
              <w:t xml:space="preserve"> Comment les échanges culturels internationaux s’articulent-ils avec les rapports de domination politiques ou é</w:t>
            </w:r>
            <w:r>
              <w:rPr>
                <w:rFonts w:ascii="Arial" w:hAnsi="Arial" w:cs="Arial"/>
                <w:sz w:val="18"/>
                <w:szCs w:val="18"/>
                <w:lang w:val="fr-FR"/>
              </w:rPr>
              <w:t>conomiques ?</w:t>
            </w:r>
            <w:r w:rsidRPr="00A1783B">
              <w:rPr>
                <w:rFonts w:ascii="Arial" w:hAnsi="Arial" w:cs="Arial"/>
                <w:sz w:val="18"/>
                <w:szCs w:val="18"/>
                <w:lang w:val="fr-FR"/>
              </w:rPr>
              <w:t xml:space="preserve"> Comment les idées sont-elles réappropriées dans des contextes distincts de ceux au sein desquels elles ont été produites ? À la croisée de l’histoire intellectuelle, de la sociologie de culture, des relations internationales et de l’analyse des politiques publiques, cet enseignement propose une introduction aux recherches en sciences sociales consacrées à la circulation internationale des idées et des savoirs ainsi qu’aux transferts de normes en matière d’action publique. La présentation de différentes études de cas permettra d’aborder les logiques qui sous-tendent les échanges littéraires transnationaux aussi bien que les transferts philosophiques, ou encore la circulation de discours économiques comme le néo-libéralisme, des normes juridiques ou d'indicateurs destinés à l'évaluation des politiques sociales. On présentera les principaux outils et modèles théoriques qui ont été élaborés pour étudier ces processus, en mettant notamment l’accent sur l’analyse des supports de ces circulations, sur le rôle des intermédiaires ou médiateurs, ainsi que sur les différents types de configurations circulatoires qu’il est possible d’identifier.</w:t>
            </w:r>
          </w:p>
        </w:tc>
      </w:tr>
      <w:tr w:rsidR="001478D4" w:rsidRPr="00497ED1" w14:paraId="54040579" w14:textId="77777777" w:rsidTr="001478D4">
        <w:tc>
          <w:tcPr>
            <w:tcW w:w="2628" w:type="dxa"/>
            <w:shd w:val="clear" w:color="auto" w:fill="auto"/>
          </w:tcPr>
          <w:p w14:paraId="0EE23C12" w14:textId="0030C9D0" w:rsidR="001478D4" w:rsidRPr="009468B9" w:rsidRDefault="001478D4" w:rsidP="009468B9">
            <w:pPr>
              <w:jc w:val="both"/>
              <w:rPr>
                <w:rFonts w:ascii="Arial" w:hAnsi="Arial" w:cs="Arial"/>
                <w:sz w:val="20"/>
                <w:lang w:val="fr-FR"/>
              </w:rPr>
            </w:pPr>
            <w:r w:rsidRPr="009468B9">
              <w:rPr>
                <w:rFonts w:ascii="Arial" w:hAnsi="Arial" w:cs="Arial"/>
                <w:sz w:val="20"/>
                <w:lang w:val="fr-FR"/>
              </w:rPr>
              <w:lastRenderedPageBreak/>
              <w:t>Politiques des migrations</w:t>
            </w:r>
          </w:p>
        </w:tc>
        <w:tc>
          <w:tcPr>
            <w:tcW w:w="1488" w:type="dxa"/>
          </w:tcPr>
          <w:p w14:paraId="5555CCFD" w14:textId="7B889773" w:rsidR="001478D4" w:rsidRPr="009468B9" w:rsidRDefault="001478D4" w:rsidP="009468B9">
            <w:pPr>
              <w:jc w:val="both"/>
              <w:rPr>
                <w:rFonts w:ascii="Arial" w:hAnsi="Arial" w:cs="Arial"/>
                <w:sz w:val="20"/>
                <w:lang w:val="fr-FR"/>
              </w:rPr>
            </w:pPr>
            <w:r w:rsidRPr="0050223D">
              <w:rPr>
                <w:rFonts w:ascii="Arial" w:hAnsi="Arial" w:cs="Arial"/>
                <w:sz w:val="20"/>
                <w:lang w:val="fr-FR"/>
              </w:rPr>
              <w:t>DHE3ET03</w:t>
            </w:r>
          </w:p>
        </w:tc>
        <w:tc>
          <w:tcPr>
            <w:tcW w:w="1472" w:type="dxa"/>
          </w:tcPr>
          <w:p w14:paraId="44C0E1A3" w14:textId="34B8619C" w:rsidR="001478D4" w:rsidRPr="009468B9" w:rsidRDefault="001478D4" w:rsidP="009468B9">
            <w:pPr>
              <w:jc w:val="both"/>
              <w:rPr>
                <w:rFonts w:ascii="Arial" w:hAnsi="Arial" w:cs="Arial"/>
                <w:sz w:val="20"/>
                <w:lang w:val="fr-FR"/>
              </w:rPr>
            </w:pPr>
            <w:r>
              <w:rPr>
                <w:rFonts w:ascii="Arial" w:hAnsi="Arial" w:cs="Arial"/>
                <w:sz w:val="20"/>
                <w:lang w:val="fr-FR"/>
              </w:rPr>
              <w:t>Mardi 18-21h</w:t>
            </w:r>
          </w:p>
        </w:tc>
        <w:tc>
          <w:tcPr>
            <w:tcW w:w="2777" w:type="dxa"/>
            <w:shd w:val="clear" w:color="auto" w:fill="auto"/>
          </w:tcPr>
          <w:p w14:paraId="490A2D27" w14:textId="77777777" w:rsidR="001478D4" w:rsidRDefault="001478D4" w:rsidP="009468B9">
            <w:pPr>
              <w:jc w:val="both"/>
              <w:rPr>
                <w:rFonts w:ascii="Arial" w:hAnsi="Arial" w:cs="Arial"/>
                <w:sz w:val="20"/>
                <w:lang w:val="fr-FR"/>
              </w:rPr>
            </w:pPr>
            <w:r w:rsidRPr="009468B9">
              <w:rPr>
                <w:rFonts w:ascii="Arial" w:hAnsi="Arial" w:cs="Arial"/>
                <w:sz w:val="20"/>
                <w:lang w:val="fr-FR"/>
              </w:rPr>
              <w:t>Nora El Qadim</w:t>
            </w:r>
          </w:p>
          <w:p w14:paraId="269F7BB8" w14:textId="77777777" w:rsidR="001478D4" w:rsidRDefault="001478D4" w:rsidP="009468B9">
            <w:pPr>
              <w:jc w:val="both"/>
              <w:rPr>
                <w:rFonts w:ascii="Arial" w:hAnsi="Arial" w:cs="Arial"/>
                <w:sz w:val="20"/>
                <w:lang w:val="fr-FR"/>
              </w:rPr>
            </w:pPr>
          </w:p>
          <w:p w14:paraId="182731F1" w14:textId="4F917A53" w:rsidR="001478D4" w:rsidRPr="009468B9" w:rsidRDefault="001478D4" w:rsidP="009468B9">
            <w:pPr>
              <w:jc w:val="both"/>
              <w:rPr>
                <w:rFonts w:ascii="Arial" w:hAnsi="Arial" w:cs="Arial"/>
                <w:sz w:val="20"/>
                <w:lang w:val="fr-FR"/>
              </w:rPr>
            </w:pPr>
            <w:r>
              <w:rPr>
                <w:rFonts w:ascii="Arial" w:hAnsi="Arial" w:cs="Arial"/>
                <w:sz w:val="20"/>
                <w:lang w:val="fr-FR"/>
              </w:rPr>
              <w:t>nora.el-qadim@univ-paris8.fr</w:t>
            </w:r>
          </w:p>
        </w:tc>
        <w:tc>
          <w:tcPr>
            <w:tcW w:w="6435" w:type="dxa"/>
            <w:shd w:val="clear" w:color="auto" w:fill="auto"/>
          </w:tcPr>
          <w:p w14:paraId="32B3B541" w14:textId="2087870D" w:rsidR="001478D4" w:rsidRPr="00D764DC" w:rsidRDefault="001478D4" w:rsidP="00CB1497">
            <w:pPr>
              <w:jc w:val="both"/>
              <w:rPr>
                <w:rFonts w:ascii="Arial" w:hAnsi="Arial" w:cs="Arial"/>
                <w:sz w:val="18"/>
                <w:szCs w:val="18"/>
                <w:lang w:val="fr-FR"/>
              </w:rPr>
            </w:pPr>
            <w:r w:rsidRPr="00CB1497">
              <w:rPr>
                <w:rFonts w:ascii="Arial" w:hAnsi="Arial" w:cs="Arial"/>
                <w:sz w:val="18"/>
                <w:szCs w:val="18"/>
                <w:lang w:val="fr-FR"/>
              </w:rPr>
              <w:t>L’objectif de ce cours est d’analyser les origines, les acteurs et les conséquences des politiques migratoires, à partir d'une question centrale</w:t>
            </w:r>
            <w:r>
              <w:rPr>
                <w:rFonts w:ascii="Arial" w:hAnsi="Arial" w:cs="Arial"/>
                <w:sz w:val="18"/>
                <w:szCs w:val="18"/>
                <w:lang w:val="fr-FR"/>
              </w:rPr>
              <w:t xml:space="preserve"> </w:t>
            </w:r>
            <w:r w:rsidRPr="00CB1497">
              <w:rPr>
                <w:rFonts w:ascii="Arial" w:hAnsi="Arial" w:cs="Arial"/>
                <w:sz w:val="18"/>
                <w:szCs w:val="18"/>
                <w:lang w:val="fr-FR"/>
              </w:rPr>
              <w:t>: à quoi servent les politiques migratoires et les frontières</w:t>
            </w:r>
            <w:r>
              <w:rPr>
                <w:rFonts w:ascii="Arial" w:hAnsi="Arial" w:cs="Arial"/>
                <w:sz w:val="18"/>
                <w:szCs w:val="18"/>
                <w:lang w:val="fr-FR"/>
              </w:rPr>
              <w:t> ?</w:t>
            </w:r>
            <w:r w:rsidRPr="00CB1497">
              <w:rPr>
                <w:rFonts w:ascii="Arial" w:hAnsi="Arial" w:cs="Arial"/>
                <w:sz w:val="18"/>
                <w:szCs w:val="18"/>
                <w:lang w:val="fr-FR"/>
              </w:rPr>
              <w:t xml:space="preserve"> Nous examinerons ainsi la construction des régimes contemporains de mobilité (et d'immobilité</w:t>
            </w:r>
            <w:r>
              <w:rPr>
                <w:rFonts w:ascii="Arial" w:hAnsi="Arial" w:cs="Arial"/>
                <w:sz w:val="18"/>
                <w:szCs w:val="18"/>
                <w:lang w:val="fr-FR"/>
              </w:rPr>
              <w:t xml:space="preserve"> </w:t>
            </w:r>
            <w:r w:rsidRPr="00CB1497">
              <w:rPr>
                <w:rFonts w:ascii="Arial" w:hAnsi="Arial" w:cs="Arial"/>
                <w:sz w:val="18"/>
                <w:szCs w:val="18"/>
                <w:lang w:val="fr-FR"/>
              </w:rPr>
              <w:t>!), ainsi que les approches de contrôle et de "gestion" des migrations par les Etats et par les organisations internationales. Nous nous intéresserons aux conséquences de ces politiques de contrôle et des types de politiques dites "d'intégration" sur les personnes migrantes dans leur diversité et dans différents domaines (études, travail, accès aux soins, à la citoyenneté etc), ainsi qu'aux stratégies migratoires. Nous examinerons comment différents acteurs participent à une "industrie des migrations", mais aussi à une industrie du contrôle des migrations. Enfin, nous interrogerons les politiques de mémorialisation des migrations (musées et expositions, productions culturelles) et les débats et contestations qu'elles engendrent.</w:t>
            </w:r>
          </w:p>
        </w:tc>
      </w:tr>
      <w:tr w:rsidR="001478D4" w:rsidRPr="00497ED1" w14:paraId="7A7D590D" w14:textId="77777777" w:rsidTr="001478D4">
        <w:tc>
          <w:tcPr>
            <w:tcW w:w="2628" w:type="dxa"/>
            <w:shd w:val="clear" w:color="auto" w:fill="auto"/>
          </w:tcPr>
          <w:p w14:paraId="410172D0" w14:textId="5CCD6D81" w:rsidR="001478D4" w:rsidRPr="009468B9" w:rsidRDefault="001478D4" w:rsidP="009468B9">
            <w:pPr>
              <w:jc w:val="both"/>
              <w:rPr>
                <w:rFonts w:ascii="Arial" w:hAnsi="Arial" w:cs="Arial"/>
                <w:sz w:val="20"/>
                <w:lang w:val="fr-FR"/>
              </w:rPr>
            </w:pPr>
            <w:r>
              <w:rPr>
                <w:rFonts w:ascii="Arial" w:hAnsi="Arial" w:cs="Arial"/>
                <w:sz w:val="20"/>
                <w:lang w:val="fr-FR"/>
              </w:rPr>
              <w:t>Numérique et politique</w:t>
            </w:r>
          </w:p>
        </w:tc>
        <w:tc>
          <w:tcPr>
            <w:tcW w:w="1488" w:type="dxa"/>
          </w:tcPr>
          <w:p w14:paraId="11ADD89D" w14:textId="76C4AC80" w:rsidR="001478D4" w:rsidRPr="009468B9" w:rsidRDefault="001478D4" w:rsidP="009468B9">
            <w:pPr>
              <w:jc w:val="both"/>
              <w:rPr>
                <w:rFonts w:ascii="Arial" w:hAnsi="Arial" w:cs="Arial"/>
                <w:sz w:val="20"/>
                <w:lang w:val="fr-FR"/>
              </w:rPr>
            </w:pPr>
            <w:r w:rsidRPr="0050223D">
              <w:rPr>
                <w:rFonts w:ascii="Arial" w:hAnsi="Arial" w:cs="Arial"/>
                <w:sz w:val="20"/>
                <w:lang w:val="fr-FR"/>
              </w:rPr>
              <w:t>DHE3ET06</w:t>
            </w:r>
          </w:p>
        </w:tc>
        <w:tc>
          <w:tcPr>
            <w:tcW w:w="1472" w:type="dxa"/>
          </w:tcPr>
          <w:p w14:paraId="3F19311F" w14:textId="5B7B73B9" w:rsidR="001478D4" w:rsidRPr="009468B9" w:rsidRDefault="001478D4" w:rsidP="009468B9">
            <w:pPr>
              <w:jc w:val="both"/>
              <w:rPr>
                <w:rFonts w:ascii="Arial" w:hAnsi="Arial" w:cs="Arial"/>
                <w:sz w:val="20"/>
                <w:lang w:val="fr-FR"/>
              </w:rPr>
            </w:pPr>
            <w:r>
              <w:rPr>
                <w:rFonts w:ascii="Arial" w:hAnsi="Arial" w:cs="Arial"/>
                <w:sz w:val="20"/>
                <w:lang w:val="fr-FR"/>
              </w:rPr>
              <w:t>Mardi 18-21h</w:t>
            </w:r>
          </w:p>
        </w:tc>
        <w:tc>
          <w:tcPr>
            <w:tcW w:w="2777" w:type="dxa"/>
            <w:shd w:val="clear" w:color="auto" w:fill="auto"/>
          </w:tcPr>
          <w:p w14:paraId="10463BC8" w14:textId="77777777" w:rsidR="001478D4" w:rsidRDefault="001478D4" w:rsidP="009468B9">
            <w:pPr>
              <w:jc w:val="both"/>
              <w:rPr>
                <w:rFonts w:ascii="Arial" w:hAnsi="Arial" w:cs="Arial"/>
                <w:sz w:val="20"/>
                <w:lang w:val="fr-FR"/>
              </w:rPr>
            </w:pPr>
            <w:r w:rsidRPr="009468B9">
              <w:rPr>
                <w:rFonts w:ascii="Arial" w:hAnsi="Arial" w:cs="Arial"/>
                <w:sz w:val="20"/>
                <w:lang w:val="fr-FR"/>
              </w:rPr>
              <w:t>Anne Marijnen</w:t>
            </w:r>
          </w:p>
          <w:p w14:paraId="77CD367E" w14:textId="77777777" w:rsidR="001478D4" w:rsidRDefault="001478D4" w:rsidP="009468B9">
            <w:pPr>
              <w:jc w:val="both"/>
              <w:rPr>
                <w:rFonts w:ascii="Arial" w:hAnsi="Arial" w:cs="Arial"/>
                <w:sz w:val="20"/>
                <w:lang w:val="fr-FR"/>
              </w:rPr>
            </w:pPr>
          </w:p>
          <w:p w14:paraId="6F9E6CB4" w14:textId="62A73560" w:rsidR="001478D4" w:rsidRPr="009468B9" w:rsidRDefault="001478D4" w:rsidP="009468B9">
            <w:pPr>
              <w:jc w:val="both"/>
              <w:rPr>
                <w:rFonts w:ascii="Arial" w:hAnsi="Arial" w:cs="Arial"/>
                <w:sz w:val="20"/>
                <w:lang w:val="fr-FR"/>
              </w:rPr>
            </w:pPr>
            <w:r>
              <w:rPr>
                <w:rFonts w:ascii="Arial" w:hAnsi="Arial" w:cs="Arial"/>
                <w:sz w:val="20"/>
                <w:lang w:val="fr-FR"/>
              </w:rPr>
              <w:t>anne.marijnen@univ-paris8.fr</w:t>
            </w:r>
          </w:p>
        </w:tc>
        <w:tc>
          <w:tcPr>
            <w:tcW w:w="6435" w:type="dxa"/>
            <w:shd w:val="clear" w:color="auto" w:fill="auto"/>
          </w:tcPr>
          <w:p w14:paraId="2BBD18BF" w14:textId="73E04FFE" w:rsidR="001478D4" w:rsidRPr="00D764DC" w:rsidRDefault="001478D4" w:rsidP="00B44A30">
            <w:pPr>
              <w:jc w:val="both"/>
              <w:rPr>
                <w:rFonts w:ascii="Arial" w:hAnsi="Arial" w:cs="Arial"/>
                <w:sz w:val="18"/>
                <w:szCs w:val="18"/>
                <w:lang w:val="fr-FR"/>
              </w:rPr>
            </w:pPr>
            <w:r w:rsidRPr="00CB1497">
              <w:rPr>
                <w:rFonts w:ascii="Arial" w:hAnsi="Arial" w:cs="Arial"/>
                <w:sz w:val="18"/>
                <w:szCs w:val="18"/>
                <w:lang w:val="fr-FR"/>
              </w:rPr>
              <w:t>La place prépondérante du numérique dans nos sociétés transforme en profondeur les relations entre les acteurs politiques, économiques et sociaux. Le cours se penchera plus particulièrement sur les relations entre numérique et politique au sens large. Il vise à identifier les transformations, les enjeux et l</w:t>
            </w:r>
            <w:r>
              <w:rPr>
                <w:rFonts w:ascii="Arial" w:hAnsi="Arial" w:cs="Arial"/>
                <w:sz w:val="18"/>
                <w:szCs w:val="18"/>
                <w:lang w:val="fr-FR"/>
              </w:rPr>
              <w:t xml:space="preserve">es risques associés aux usages </w:t>
            </w:r>
            <w:r w:rsidRPr="00CB1497">
              <w:rPr>
                <w:rFonts w:ascii="Arial" w:hAnsi="Arial" w:cs="Arial"/>
                <w:sz w:val="18"/>
                <w:szCs w:val="18"/>
                <w:lang w:val="fr-FR"/>
              </w:rPr>
              <w:t xml:space="preserve">et aux stratégies numériques des citoyens, des acteurs privés </w:t>
            </w:r>
            <w:r>
              <w:rPr>
                <w:rFonts w:ascii="Arial" w:hAnsi="Arial" w:cs="Arial"/>
                <w:sz w:val="18"/>
                <w:szCs w:val="18"/>
                <w:lang w:val="fr-FR"/>
              </w:rPr>
              <w:t>et politiques ainsi que des é</w:t>
            </w:r>
            <w:r w:rsidRPr="00CB1497">
              <w:rPr>
                <w:rFonts w:ascii="Arial" w:hAnsi="Arial" w:cs="Arial"/>
                <w:sz w:val="18"/>
                <w:szCs w:val="18"/>
                <w:lang w:val="fr-FR"/>
              </w:rPr>
              <w:t>tats. Il doit permettre aux étudiant-e-s de développer une réflexion et une approche critique sur ces usages et les familiariser avec les méthodes de recherche utilisées dans ce domaine. Parmi les thèmes abordés dans cette sociologie politique du numérique : la gouvernance de l’internet, les politiques publiques du numériques et le eGovernment, l’évolution de la communication politique, de la conduite des élections et des campagnes électorales, les comportements politiques et l’activisme en ligne, l’usage du numérique dans les régimes autoritaires, la géopolitique numérique et</w:t>
            </w:r>
            <w:r>
              <w:rPr>
                <w:rFonts w:ascii="Arial" w:hAnsi="Arial" w:cs="Arial"/>
                <w:sz w:val="18"/>
                <w:szCs w:val="18"/>
                <w:lang w:val="fr-FR"/>
              </w:rPr>
              <w:t xml:space="preserve"> </w:t>
            </w:r>
            <w:r w:rsidRPr="00CB1497">
              <w:rPr>
                <w:rFonts w:ascii="Arial" w:hAnsi="Arial" w:cs="Arial"/>
                <w:sz w:val="18"/>
                <w:szCs w:val="18"/>
                <w:lang w:val="fr-FR"/>
              </w:rPr>
              <w:t>les  cyberconflits</w:t>
            </w:r>
            <w:r>
              <w:rPr>
                <w:rFonts w:ascii="Arial" w:hAnsi="Arial" w:cs="Arial"/>
                <w:sz w:val="18"/>
                <w:szCs w:val="18"/>
                <w:lang w:val="fr-FR"/>
              </w:rPr>
              <w:t>.</w:t>
            </w:r>
          </w:p>
        </w:tc>
      </w:tr>
    </w:tbl>
    <w:p w14:paraId="6C5B8651" w14:textId="77777777" w:rsidR="00FE270A" w:rsidRPr="001478D4" w:rsidRDefault="00FE270A" w:rsidP="002B3F17">
      <w:pPr>
        <w:jc w:val="both"/>
        <w:rPr>
          <w:rFonts w:ascii="Arial" w:hAnsi="Arial" w:cs="Arial"/>
          <w:sz w:val="20"/>
          <w:lang w:val="fr-FR"/>
        </w:rPr>
      </w:pPr>
    </w:p>
    <w:sectPr w:rsidR="00FE270A" w:rsidRPr="001478D4" w:rsidSect="00391B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D5C6" w14:textId="77777777" w:rsidR="00CB2B32" w:rsidRDefault="00CB2B32" w:rsidP="00AC0314">
      <w:r>
        <w:separator/>
      </w:r>
    </w:p>
  </w:endnote>
  <w:endnote w:type="continuationSeparator" w:id="0">
    <w:p w14:paraId="79677028" w14:textId="77777777" w:rsidR="00CB2B32" w:rsidRDefault="00CB2B32" w:rsidP="00AC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DD0D" w14:textId="77777777" w:rsidR="00CB2B32" w:rsidRDefault="00CB2B32" w:rsidP="00AC0314">
      <w:r>
        <w:separator/>
      </w:r>
    </w:p>
  </w:footnote>
  <w:footnote w:type="continuationSeparator" w:id="0">
    <w:p w14:paraId="6D2453B6" w14:textId="77777777" w:rsidR="00CB2B32" w:rsidRDefault="00CB2B32" w:rsidP="00AC03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734C9"/>
    <w:multiLevelType w:val="hybridMultilevel"/>
    <w:tmpl w:val="2916947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492EF1"/>
    <w:multiLevelType w:val="hybridMultilevel"/>
    <w:tmpl w:val="57CC9EBE"/>
    <w:lvl w:ilvl="0" w:tplc="9C44488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E71402"/>
    <w:multiLevelType w:val="hybridMultilevel"/>
    <w:tmpl w:val="1BB8A372"/>
    <w:lvl w:ilvl="0" w:tplc="A5E8618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5F"/>
    <w:rsid w:val="00016FF0"/>
    <w:rsid w:val="00020825"/>
    <w:rsid w:val="00026444"/>
    <w:rsid w:val="0003075F"/>
    <w:rsid w:val="00031E3F"/>
    <w:rsid w:val="000827D8"/>
    <w:rsid w:val="000852D8"/>
    <w:rsid w:val="000A27E1"/>
    <w:rsid w:val="000D4633"/>
    <w:rsid w:val="000F7F0B"/>
    <w:rsid w:val="001103A1"/>
    <w:rsid w:val="00126824"/>
    <w:rsid w:val="00126F80"/>
    <w:rsid w:val="00126FB0"/>
    <w:rsid w:val="00132B9F"/>
    <w:rsid w:val="0013345E"/>
    <w:rsid w:val="001478D4"/>
    <w:rsid w:val="001625F0"/>
    <w:rsid w:val="00176CEC"/>
    <w:rsid w:val="00191F0F"/>
    <w:rsid w:val="001A2472"/>
    <w:rsid w:val="001B2983"/>
    <w:rsid w:val="001E6B2E"/>
    <w:rsid w:val="00214E23"/>
    <w:rsid w:val="0022637B"/>
    <w:rsid w:val="002676BB"/>
    <w:rsid w:val="00277FD2"/>
    <w:rsid w:val="00282DC9"/>
    <w:rsid w:val="002904EF"/>
    <w:rsid w:val="002B37D5"/>
    <w:rsid w:val="002B3F17"/>
    <w:rsid w:val="002C248D"/>
    <w:rsid w:val="002D12EE"/>
    <w:rsid w:val="00312BFE"/>
    <w:rsid w:val="00315D64"/>
    <w:rsid w:val="00317877"/>
    <w:rsid w:val="00345AD1"/>
    <w:rsid w:val="003721C5"/>
    <w:rsid w:val="00384E9B"/>
    <w:rsid w:val="00387689"/>
    <w:rsid w:val="00391B10"/>
    <w:rsid w:val="00393DE1"/>
    <w:rsid w:val="003A7F4C"/>
    <w:rsid w:val="003B455E"/>
    <w:rsid w:val="003C4F23"/>
    <w:rsid w:val="003D175C"/>
    <w:rsid w:val="003E1E7C"/>
    <w:rsid w:val="003F4D61"/>
    <w:rsid w:val="00433735"/>
    <w:rsid w:val="0045172D"/>
    <w:rsid w:val="00457DAC"/>
    <w:rsid w:val="00475DFC"/>
    <w:rsid w:val="00481B02"/>
    <w:rsid w:val="00482486"/>
    <w:rsid w:val="00495769"/>
    <w:rsid w:val="00495E16"/>
    <w:rsid w:val="00497ED1"/>
    <w:rsid w:val="004A2D25"/>
    <w:rsid w:val="004B7601"/>
    <w:rsid w:val="004C23ED"/>
    <w:rsid w:val="0050223D"/>
    <w:rsid w:val="00511430"/>
    <w:rsid w:val="00515A52"/>
    <w:rsid w:val="00521DD2"/>
    <w:rsid w:val="00544FBB"/>
    <w:rsid w:val="00545CE7"/>
    <w:rsid w:val="00551457"/>
    <w:rsid w:val="005522E4"/>
    <w:rsid w:val="0055370C"/>
    <w:rsid w:val="005B74A2"/>
    <w:rsid w:val="005E5CB9"/>
    <w:rsid w:val="005F53E5"/>
    <w:rsid w:val="005F5EF7"/>
    <w:rsid w:val="00613C8D"/>
    <w:rsid w:val="00616002"/>
    <w:rsid w:val="00697ED4"/>
    <w:rsid w:val="006B06D7"/>
    <w:rsid w:val="006F52A7"/>
    <w:rsid w:val="00720DD5"/>
    <w:rsid w:val="007257B1"/>
    <w:rsid w:val="00733058"/>
    <w:rsid w:val="007357A0"/>
    <w:rsid w:val="00736031"/>
    <w:rsid w:val="0074155E"/>
    <w:rsid w:val="00753884"/>
    <w:rsid w:val="00753C70"/>
    <w:rsid w:val="00780289"/>
    <w:rsid w:val="00791F50"/>
    <w:rsid w:val="007B22A2"/>
    <w:rsid w:val="007B798A"/>
    <w:rsid w:val="007E1415"/>
    <w:rsid w:val="007F62C3"/>
    <w:rsid w:val="00833231"/>
    <w:rsid w:val="008841BF"/>
    <w:rsid w:val="00886440"/>
    <w:rsid w:val="008F1E0A"/>
    <w:rsid w:val="008F61A6"/>
    <w:rsid w:val="00932185"/>
    <w:rsid w:val="009364DC"/>
    <w:rsid w:val="0094347F"/>
    <w:rsid w:val="009468B9"/>
    <w:rsid w:val="009523D0"/>
    <w:rsid w:val="00982603"/>
    <w:rsid w:val="009B2E50"/>
    <w:rsid w:val="009B3D83"/>
    <w:rsid w:val="009B4C52"/>
    <w:rsid w:val="009C53DB"/>
    <w:rsid w:val="009E1B04"/>
    <w:rsid w:val="009F0344"/>
    <w:rsid w:val="00A100B9"/>
    <w:rsid w:val="00A16953"/>
    <w:rsid w:val="00A1783B"/>
    <w:rsid w:val="00A536BA"/>
    <w:rsid w:val="00A563BF"/>
    <w:rsid w:val="00A641CA"/>
    <w:rsid w:val="00A706A5"/>
    <w:rsid w:val="00A936A6"/>
    <w:rsid w:val="00AA0F5D"/>
    <w:rsid w:val="00AA6705"/>
    <w:rsid w:val="00AA7D7F"/>
    <w:rsid w:val="00AB52DB"/>
    <w:rsid w:val="00AC0314"/>
    <w:rsid w:val="00AF3E19"/>
    <w:rsid w:val="00B14A7E"/>
    <w:rsid w:val="00B42358"/>
    <w:rsid w:val="00B44A30"/>
    <w:rsid w:val="00B547D7"/>
    <w:rsid w:val="00B63448"/>
    <w:rsid w:val="00B63A87"/>
    <w:rsid w:val="00B713A5"/>
    <w:rsid w:val="00B86415"/>
    <w:rsid w:val="00B91C9D"/>
    <w:rsid w:val="00BB5DA3"/>
    <w:rsid w:val="00BC5570"/>
    <w:rsid w:val="00BE13FF"/>
    <w:rsid w:val="00BE60D0"/>
    <w:rsid w:val="00C05080"/>
    <w:rsid w:val="00C15385"/>
    <w:rsid w:val="00C36EED"/>
    <w:rsid w:val="00C5505B"/>
    <w:rsid w:val="00C97B3D"/>
    <w:rsid w:val="00CA16CE"/>
    <w:rsid w:val="00CB1497"/>
    <w:rsid w:val="00CB2B32"/>
    <w:rsid w:val="00CB4D0C"/>
    <w:rsid w:val="00CC7E4C"/>
    <w:rsid w:val="00CD039A"/>
    <w:rsid w:val="00CE36B9"/>
    <w:rsid w:val="00CE4589"/>
    <w:rsid w:val="00D2517B"/>
    <w:rsid w:val="00D2539C"/>
    <w:rsid w:val="00D52648"/>
    <w:rsid w:val="00D52DB8"/>
    <w:rsid w:val="00D764DC"/>
    <w:rsid w:val="00D814E9"/>
    <w:rsid w:val="00D83951"/>
    <w:rsid w:val="00DB4DDB"/>
    <w:rsid w:val="00DE4E04"/>
    <w:rsid w:val="00DE6985"/>
    <w:rsid w:val="00DE7FA9"/>
    <w:rsid w:val="00E14FEA"/>
    <w:rsid w:val="00E24813"/>
    <w:rsid w:val="00E26E18"/>
    <w:rsid w:val="00E277B2"/>
    <w:rsid w:val="00E43C3F"/>
    <w:rsid w:val="00E53DCE"/>
    <w:rsid w:val="00E609DF"/>
    <w:rsid w:val="00EB6C79"/>
    <w:rsid w:val="00EC3EF3"/>
    <w:rsid w:val="00EE1440"/>
    <w:rsid w:val="00EF2A1D"/>
    <w:rsid w:val="00F10697"/>
    <w:rsid w:val="00F23D94"/>
    <w:rsid w:val="00F730DC"/>
    <w:rsid w:val="00F748F2"/>
    <w:rsid w:val="00F8635F"/>
    <w:rsid w:val="00F873A7"/>
    <w:rsid w:val="00FB1913"/>
    <w:rsid w:val="00FC2190"/>
    <w:rsid w:val="00FD4D8F"/>
    <w:rsid w:val="00FD7608"/>
    <w:rsid w:val="00FE27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880C9"/>
  <w15:docId w15:val="{D0107AD6-112B-4C66-9248-00DFC94E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5F"/>
    <w:pPr>
      <w:spacing w:after="0" w:line="240" w:lineRule="auto"/>
    </w:pPr>
    <w:rPr>
      <w:rFonts w:ascii="Nyala" w:eastAsia="Times New Roman" w:hAnsi="Nyala" w:cs="Times New Roman"/>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075F"/>
    <w:pPr>
      <w:spacing w:after="0" w:line="240" w:lineRule="auto"/>
    </w:pPr>
    <w:rPr>
      <w:rFonts w:ascii="Nyala" w:eastAsia="Times New Roman" w:hAnsi="Nyala"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3075F"/>
    <w:rPr>
      <w:sz w:val="16"/>
      <w:szCs w:val="16"/>
    </w:rPr>
  </w:style>
  <w:style w:type="paragraph" w:styleId="Commentaire">
    <w:name w:val="annotation text"/>
    <w:basedOn w:val="Normal"/>
    <w:link w:val="CommentaireCar"/>
    <w:uiPriority w:val="99"/>
    <w:semiHidden/>
    <w:unhideWhenUsed/>
    <w:rsid w:val="0003075F"/>
    <w:rPr>
      <w:sz w:val="20"/>
    </w:rPr>
  </w:style>
  <w:style w:type="character" w:customStyle="1" w:styleId="CommentaireCar">
    <w:name w:val="Commentaire Car"/>
    <w:basedOn w:val="Policepardfaut"/>
    <w:link w:val="Commentaire"/>
    <w:uiPriority w:val="99"/>
    <w:semiHidden/>
    <w:rsid w:val="0003075F"/>
    <w:rPr>
      <w:rFonts w:ascii="Nyala" w:eastAsia="Times New Roman" w:hAnsi="Nyala" w:cs="Times New Roman"/>
      <w:sz w:val="20"/>
      <w:szCs w:val="20"/>
      <w:lang w:val="en-US"/>
    </w:rPr>
  </w:style>
  <w:style w:type="paragraph" w:styleId="Textedebulles">
    <w:name w:val="Balloon Text"/>
    <w:basedOn w:val="Normal"/>
    <w:link w:val="TextedebullesCar"/>
    <w:uiPriority w:val="99"/>
    <w:semiHidden/>
    <w:unhideWhenUsed/>
    <w:rsid w:val="000307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75F"/>
    <w:rPr>
      <w:rFonts w:ascii="Segoe UI" w:eastAsia="Times New Roman" w:hAnsi="Segoe UI" w:cs="Segoe UI"/>
      <w:sz w:val="18"/>
      <w:szCs w:val="18"/>
      <w:lang w:val="en-US"/>
    </w:rPr>
  </w:style>
  <w:style w:type="paragraph" w:styleId="Paragraphedeliste">
    <w:name w:val="List Paragraph"/>
    <w:basedOn w:val="Normal"/>
    <w:uiPriority w:val="34"/>
    <w:qFormat/>
    <w:rsid w:val="00833231"/>
    <w:pPr>
      <w:ind w:left="720"/>
      <w:contextualSpacing/>
    </w:pPr>
  </w:style>
  <w:style w:type="paragraph" w:styleId="En-tte">
    <w:name w:val="header"/>
    <w:basedOn w:val="Normal"/>
    <w:link w:val="En-tteCar"/>
    <w:uiPriority w:val="99"/>
    <w:unhideWhenUsed/>
    <w:rsid w:val="00AC0314"/>
    <w:pPr>
      <w:tabs>
        <w:tab w:val="center" w:pos="4536"/>
        <w:tab w:val="right" w:pos="9072"/>
      </w:tabs>
    </w:pPr>
  </w:style>
  <w:style w:type="character" w:customStyle="1" w:styleId="En-tteCar">
    <w:name w:val="En-tête Car"/>
    <w:basedOn w:val="Policepardfaut"/>
    <w:link w:val="En-tte"/>
    <w:uiPriority w:val="99"/>
    <w:rsid w:val="00AC0314"/>
    <w:rPr>
      <w:rFonts w:ascii="Nyala" w:eastAsia="Times New Roman" w:hAnsi="Nyala" w:cs="Times New Roman"/>
      <w:sz w:val="24"/>
      <w:szCs w:val="20"/>
      <w:lang w:val="en-US"/>
    </w:rPr>
  </w:style>
  <w:style w:type="paragraph" w:styleId="Pieddepage">
    <w:name w:val="footer"/>
    <w:basedOn w:val="Normal"/>
    <w:link w:val="PieddepageCar"/>
    <w:uiPriority w:val="99"/>
    <w:unhideWhenUsed/>
    <w:rsid w:val="00AC0314"/>
    <w:pPr>
      <w:tabs>
        <w:tab w:val="center" w:pos="4536"/>
        <w:tab w:val="right" w:pos="9072"/>
      </w:tabs>
    </w:pPr>
  </w:style>
  <w:style w:type="character" w:customStyle="1" w:styleId="PieddepageCar">
    <w:name w:val="Pied de page Car"/>
    <w:basedOn w:val="Policepardfaut"/>
    <w:link w:val="Pieddepage"/>
    <w:uiPriority w:val="99"/>
    <w:rsid w:val="00AC0314"/>
    <w:rPr>
      <w:rFonts w:ascii="Nyala" w:eastAsia="Times New Roman" w:hAnsi="Nyala" w:cs="Times New Roman"/>
      <w:sz w:val="24"/>
      <w:szCs w:val="20"/>
      <w:lang w:val="en-US"/>
    </w:rPr>
  </w:style>
  <w:style w:type="paragraph" w:customStyle="1" w:styleId="Default">
    <w:name w:val="Default"/>
    <w:rsid w:val="004337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2020-05-15T09:45:00Z</cp:lastPrinted>
  <dcterms:created xsi:type="dcterms:W3CDTF">2020-09-10T08:26:00Z</dcterms:created>
  <dcterms:modified xsi:type="dcterms:W3CDTF">2020-09-10T08:26:00Z</dcterms:modified>
</cp:coreProperties>
</file>