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54" w:rsidRPr="00787254" w:rsidRDefault="00787254" w:rsidP="00787254">
      <w:pPr>
        <w:rPr>
          <w:b/>
          <w:sz w:val="28"/>
        </w:rPr>
      </w:pPr>
      <w:bookmarkStart w:id="0" w:name="_GoBack"/>
      <w:bookmarkEnd w:id="0"/>
      <w:r w:rsidRPr="00787254">
        <w:rPr>
          <w:b/>
          <w:sz w:val="28"/>
        </w:rPr>
        <w:t xml:space="preserve">Premier semestre </w:t>
      </w:r>
    </w:p>
    <w:p w:rsidR="00787254" w:rsidRPr="00787254" w:rsidRDefault="00787254" w:rsidP="00787254">
      <w:pPr>
        <w:rPr>
          <w:b/>
          <w:sz w:val="28"/>
        </w:rPr>
      </w:pPr>
    </w:p>
    <w:p w:rsidR="00787254" w:rsidRPr="00787254" w:rsidRDefault="00787254" w:rsidP="00787254">
      <w:pPr>
        <w:rPr>
          <w:b/>
          <w:sz w:val="28"/>
        </w:rPr>
      </w:pPr>
    </w:p>
    <w:p w:rsidR="00787254" w:rsidRPr="00787254" w:rsidRDefault="00787254" w:rsidP="00787254">
      <w:pPr>
        <w:jc w:val="both"/>
        <w:rPr>
          <w:sz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787254" w:rsidRPr="00787254">
        <w:tc>
          <w:tcPr>
            <w:tcW w:w="9288" w:type="dxa"/>
          </w:tcPr>
          <w:p w:rsidR="00787254" w:rsidRPr="00787254" w:rsidRDefault="00787254" w:rsidP="00F36676">
            <w:pPr>
              <w:jc w:val="center"/>
              <w:rPr>
                <w:sz w:val="28"/>
              </w:rPr>
            </w:pPr>
            <w:r w:rsidRPr="00787254">
              <w:rPr>
                <w:sz w:val="28"/>
              </w:rPr>
              <w:t>M1-M2</w:t>
            </w:r>
          </w:p>
          <w:p w:rsidR="00787254" w:rsidRPr="00787254" w:rsidRDefault="00787254" w:rsidP="00F36676">
            <w:pPr>
              <w:rPr>
                <w:b/>
                <w:sz w:val="28"/>
              </w:rPr>
            </w:pPr>
          </w:p>
          <w:p w:rsidR="00787254" w:rsidRPr="00787254" w:rsidRDefault="00787254" w:rsidP="00F36676">
            <w:pPr>
              <w:jc w:val="center"/>
              <w:rPr>
                <w:b/>
                <w:sz w:val="28"/>
              </w:rPr>
            </w:pPr>
            <w:r w:rsidRPr="00787254">
              <w:rPr>
                <w:b/>
                <w:sz w:val="28"/>
              </w:rPr>
              <w:t>Aires culturelles italienne, germanique, arabe, et russe</w:t>
            </w:r>
          </w:p>
          <w:p w:rsidR="00787254" w:rsidRPr="00787254" w:rsidRDefault="00787254" w:rsidP="00F36676">
            <w:pPr>
              <w:rPr>
                <w:b/>
                <w:sz w:val="28"/>
              </w:rPr>
            </w:pPr>
            <w:r w:rsidRPr="00787254">
              <w:rPr>
                <w:b/>
                <w:sz w:val="28"/>
              </w:rPr>
              <w:t xml:space="preserve">  </w:t>
            </w:r>
          </w:p>
          <w:p w:rsidR="00787254" w:rsidRPr="00787254" w:rsidRDefault="00787254" w:rsidP="00F36676">
            <w:pPr>
              <w:rPr>
                <w:b/>
                <w:sz w:val="28"/>
              </w:rPr>
            </w:pPr>
            <w:r w:rsidRPr="00787254">
              <w:rPr>
                <w:b/>
                <w:sz w:val="28"/>
              </w:rPr>
              <w:t xml:space="preserve">         Du </w:t>
            </w:r>
            <w:proofErr w:type="spellStart"/>
            <w:r w:rsidRPr="00787254">
              <w:rPr>
                <w:b/>
                <w:i/>
                <w:sz w:val="28"/>
              </w:rPr>
              <w:t>stato</w:t>
            </w:r>
            <w:proofErr w:type="spellEnd"/>
            <w:r w:rsidRPr="00787254">
              <w:rPr>
                <w:b/>
                <w:i/>
                <w:sz w:val="28"/>
              </w:rPr>
              <w:t xml:space="preserve"> </w:t>
            </w:r>
            <w:proofErr w:type="spellStart"/>
            <w:r w:rsidRPr="00787254">
              <w:rPr>
                <w:b/>
                <w:i/>
                <w:sz w:val="28"/>
              </w:rPr>
              <w:t>totalitario</w:t>
            </w:r>
            <w:proofErr w:type="spellEnd"/>
            <w:r w:rsidRPr="00787254">
              <w:rPr>
                <w:b/>
                <w:sz w:val="28"/>
              </w:rPr>
              <w:t xml:space="preserve"> du fascisme italien au « totalitarisme » islamique</w:t>
            </w:r>
          </w:p>
          <w:p w:rsidR="00787254" w:rsidRPr="00787254" w:rsidRDefault="00787254" w:rsidP="00F36676">
            <w:pPr>
              <w:rPr>
                <w:b/>
                <w:sz w:val="22"/>
              </w:rPr>
            </w:pPr>
            <w:r w:rsidRPr="00787254">
              <w:rPr>
                <w:b/>
              </w:rPr>
              <w:t xml:space="preserve">            </w:t>
            </w:r>
            <w:r w:rsidRPr="00787254">
              <w:rPr>
                <w:b/>
                <w:sz w:val="22"/>
              </w:rPr>
              <w:t>Débats historiographiques et usages politiques à propos d’une notion controversée</w:t>
            </w:r>
          </w:p>
          <w:p w:rsidR="00787254" w:rsidRPr="00787254" w:rsidRDefault="00787254" w:rsidP="00F36676">
            <w:pPr>
              <w:rPr>
                <w:color w:val="000000"/>
                <w:sz w:val="22"/>
              </w:rPr>
            </w:pPr>
          </w:p>
          <w:p w:rsidR="00787254" w:rsidRPr="00787254" w:rsidRDefault="00787254" w:rsidP="00F36676">
            <w:pPr>
              <w:rPr>
                <w:color w:val="000000"/>
                <w:sz w:val="28"/>
              </w:rPr>
            </w:pPr>
            <w:r w:rsidRPr="00787254">
              <w:rPr>
                <w:color w:val="000000"/>
                <w:sz w:val="28"/>
              </w:rPr>
              <w:t>Enseignants :</w:t>
            </w:r>
          </w:p>
          <w:p w:rsidR="00787254" w:rsidRPr="00787254" w:rsidRDefault="00787254" w:rsidP="00F36676">
            <w:pPr>
              <w:rPr>
                <w:color w:val="000000"/>
                <w:sz w:val="28"/>
              </w:rPr>
            </w:pPr>
            <w:r w:rsidRPr="00787254">
              <w:rPr>
                <w:color w:val="000000"/>
                <w:sz w:val="28"/>
              </w:rPr>
              <w:t>André FILLER (MCF HDR au département d’études slaves)</w:t>
            </w:r>
          </w:p>
          <w:p w:rsidR="00787254" w:rsidRPr="00787254" w:rsidRDefault="00787254" w:rsidP="00F36676">
            <w:pPr>
              <w:rPr>
                <w:color w:val="000000"/>
                <w:sz w:val="28"/>
              </w:rPr>
            </w:pPr>
            <w:r w:rsidRPr="00787254">
              <w:rPr>
                <w:color w:val="000000"/>
                <w:sz w:val="28"/>
              </w:rPr>
              <w:t>Mathieu GUIDÈRE (PR au département d’arabe)</w:t>
            </w:r>
          </w:p>
          <w:p w:rsidR="00787254" w:rsidRPr="00787254" w:rsidRDefault="00787254" w:rsidP="00F36676">
            <w:pPr>
              <w:rPr>
                <w:color w:val="000000"/>
                <w:sz w:val="28"/>
              </w:rPr>
            </w:pPr>
            <w:r w:rsidRPr="00787254">
              <w:rPr>
                <w:color w:val="000000"/>
                <w:sz w:val="28"/>
              </w:rPr>
              <w:t xml:space="preserve">René-Marc </w:t>
            </w:r>
            <w:r w:rsidRPr="00787254">
              <w:rPr>
                <w:caps/>
                <w:color w:val="000000"/>
                <w:sz w:val="28"/>
              </w:rPr>
              <w:t>Pille</w:t>
            </w:r>
            <w:r w:rsidRPr="00787254">
              <w:rPr>
                <w:color w:val="000000"/>
                <w:sz w:val="28"/>
              </w:rPr>
              <w:t xml:space="preserve"> (PR au département d’allemand)</w:t>
            </w:r>
          </w:p>
          <w:p w:rsidR="00787254" w:rsidRPr="00787254" w:rsidRDefault="00787254" w:rsidP="00F36676">
            <w:pPr>
              <w:rPr>
                <w:color w:val="000000"/>
                <w:sz w:val="28"/>
              </w:rPr>
            </w:pPr>
            <w:r w:rsidRPr="00787254">
              <w:rPr>
                <w:color w:val="000000"/>
                <w:sz w:val="28"/>
              </w:rPr>
              <w:t xml:space="preserve">Xavier </w:t>
            </w:r>
            <w:r w:rsidRPr="00787254">
              <w:rPr>
                <w:caps/>
                <w:color w:val="000000"/>
                <w:sz w:val="28"/>
              </w:rPr>
              <w:t>Tabet</w:t>
            </w:r>
            <w:r w:rsidRPr="00787254">
              <w:rPr>
                <w:color w:val="000000"/>
                <w:sz w:val="28"/>
              </w:rPr>
              <w:t xml:space="preserve"> (PR au département d’italien)</w:t>
            </w:r>
          </w:p>
          <w:p w:rsidR="00787254" w:rsidRPr="00787254" w:rsidRDefault="00787254" w:rsidP="00F36676">
            <w:pPr>
              <w:rPr>
                <w:sz w:val="28"/>
              </w:rPr>
            </w:pPr>
          </w:p>
          <w:p w:rsidR="00787254" w:rsidRPr="00B87102" w:rsidRDefault="00787254" w:rsidP="00F36676">
            <w:pPr>
              <w:jc w:val="both"/>
              <w:rPr>
                <w:b/>
                <w:sz w:val="28"/>
              </w:rPr>
            </w:pPr>
            <w:r w:rsidRPr="00787254">
              <w:rPr>
                <w:b/>
                <w:sz w:val="28"/>
              </w:rPr>
              <w:t xml:space="preserve">Premier semestre 2017-2018 </w:t>
            </w:r>
            <w:r w:rsidR="00BD10F9">
              <w:rPr>
                <w:sz w:val="28"/>
              </w:rPr>
              <w:t xml:space="preserve"> C</w:t>
            </w:r>
            <w:r w:rsidRPr="00787254">
              <w:rPr>
                <w:sz w:val="28"/>
              </w:rPr>
              <w:t>ours ouvert aux étudiants de Master Histoire, Master IEE, et de Master</w:t>
            </w:r>
            <w:r w:rsidR="00BD10F9">
              <w:rPr>
                <w:sz w:val="28"/>
              </w:rPr>
              <w:t xml:space="preserve"> 1 et 2</w:t>
            </w:r>
            <w:r w:rsidRPr="00787254">
              <w:rPr>
                <w:sz w:val="28"/>
              </w:rPr>
              <w:t xml:space="preserve"> sciences po, </w:t>
            </w:r>
            <w:r w:rsidRPr="00787254">
              <w:rPr>
                <w:b/>
                <w:color w:val="000000"/>
                <w:sz w:val="28"/>
              </w:rPr>
              <w:t xml:space="preserve">mardi 15h-18h. Mail : </w:t>
            </w:r>
            <w:hyperlink r:id="rId4" w:history="1">
              <w:r w:rsidRPr="00787254">
                <w:rPr>
                  <w:rStyle w:val="Lienhypertexte"/>
                  <w:b/>
                  <w:sz w:val="28"/>
                </w:rPr>
                <w:t>xavier.tabet@wanadoo.fr</w:t>
              </w:r>
            </w:hyperlink>
            <w:r w:rsidR="00B87102">
              <w:t xml:space="preserve"> </w:t>
            </w:r>
            <w:r w:rsidR="00B87102">
              <w:rPr>
                <w:b/>
              </w:rPr>
              <w:t>SALLE B 313</w:t>
            </w:r>
            <w:r w:rsidR="000E332F">
              <w:rPr>
                <w:b/>
              </w:rPr>
              <w:t xml:space="preserve"> / </w:t>
            </w:r>
            <w:r w:rsidR="000E332F" w:rsidRPr="000E332F">
              <w:rPr>
                <w:b/>
                <w:i/>
                <w:sz w:val="28"/>
              </w:rPr>
              <w:t>Début le 19 septembre</w:t>
            </w:r>
          </w:p>
        </w:tc>
      </w:tr>
      <w:tr w:rsidR="00787254" w:rsidRPr="00787254">
        <w:tc>
          <w:tcPr>
            <w:tcW w:w="9288" w:type="dxa"/>
            <w:tcBorders>
              <w:left w:val="nil"/>
              <w:bottom w:val="nil"/>
              <w:right w:val="nil"/>
            </w:tcBorders>
          </w:tcPr>
          <w:p w:rsidR="00787254" w:rsidRPr="00787254" w:rsidRDefault="00787254" w:rsidP="00F36676">
            <w:pPr>
              <w:jc w:val="both"/>
              <w:rPr>
                <w:b/>
                <w:sz w:val="28"/>
              </w:rPr>
            </w:pPr>
          </w:p>
        </w:tc>
      </w:tr>
    </w:tbl>
    <w:p w:rsidR="00787254" w:rsidRPr="00787254" w:rsidRDefault="00787254" w:rsidP="00787254">
      <w:pPr>
        <w:jc w:val="both"/>
        <w:rPr>
          <w:sz w:val="28"/>
        </w:rPr>
      </w:pPr>
      <w:r w:rsidRPr="00787254">
        <w:rPr>
          <w:sz w:val="28"/>
        </w:rPr>
        <w:t xml:space="preserve"> </w:t>
      </w:r>
    </w:p>
    <w:p w:rsidR="00787254" w:rsidRPr="00787254" w:rsidRDefault="00787254" w:rsidP="00787254">
      <w:pPr>
        <w:jc w:val="center"/>
        <w:rPr>
          <w:sz w:val="28"/>
        </w:rPr>
      </w:pPr>
      <w:r w:rsidRPr="00787254">
        <w:rPr>
          <w:sz w:val="28"/>
        </w:rPr>
        <w:t xml:space="preserve">                                                                        Langue d’enseignement </w:t>
      </w:r>
      <w:proofErr w:type="gramStart"/>
      <w:r w:rsidRPr="00787254">
        <w:rPr>
          <w:sz w:val="28"/>
        </w:rPr>
        <w:t>:  français</w:t>
      </w:r>
      <w:proofErr w:type="gramEnd"/>
    </w:p>
    <w:p w:rsidR="00787254" w:rsidRPr="00787254" w:rsidRDefault="00787254" w:rsidP="00787254">
      <w:pPr>
        <w:jc w:val="center"/>
        <w:rPr>
          <w:sz w:val="28"/>
        </w:rPr>
      </w:pPr>
      <w:r w:rsidRPr="00787254">
        <w:rPr>
          <w:sz w:val="28"/>
        </w:rPr>
        <w:t xml:space="preserve">                                                                         Langue des textes étudiés </w:t>
      </w:r>
      <w:proofErr w:type="gramStart"/>
      <w:r w:rsidR="00F21CD7">
        <w:rPr>
          <w:sz w:val="28"/>
        </w:rPr>
        <w:t>:</w:t>
      </w:r>
      <w:r w:rsidRPr="00787254">
        <w:rPr>
          <w:sz w:val="28"/>
        </w:rPr>
        <w:t>français</w:t>
      </w:r>
      <w:proofErr w:type="gramEnd"/>
    </w:p>
    <w:p w:rsidR="00787254" w:rsidRPr="00787254" w:rsidRDefault="00787254" w:rsidP="00787254">
      <w:pPr>
        <w:jc w:val="right"/>
        <w:rPr>
          <w:sz w:val="28"/>
        </w:rPr>
      </w:pPr>
    </w:p>
    <w:p w:rsidR="00787254" w:rsidRPr="00787254" w:rsidRDefault="00787254" w:rsidP="00787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 w:val="28"/>
        </w:rPr>
      </w:pPr>
      <w:r w:rsidRPr="00787254">
        <w:rPr>
          <w:rFonts w:cs="Times"/>
          <w:sz w:val="28"/>
        </w:rPr>
        <w:t xml:space="preserve">Dans ce séminaire, nous nous proposons de retracer l'histoire et les usages politiques de la notion de totalitarisme, depuis l’apparition du terme au début des années 1920 en Italie jusqu’aux analyses d’Hannah Arendt dans </w:t>
      </w:r>
      <w:r w:rsidRPr="00787254">
        <w:rPr>
          <w:rFonts w:cs="Times"/>
          <w:i/>
          <w:sz w:val="28"/>
        </w:rPr>
        <w:t>Les origines du totalitarisme</w:t>
      </w:r>
      <w:r w:rsidRPr="00787254">
        <w:rPr>
          <w:rFonts w:cs="Times"/>
          <w:sz w:val="28"/>
        </w:rPr>
        <w:t xml:space="preserve"> (1951), et jusqu’au « retour » de la notion dans le débat public actuel. </w:t>
      </w:r>
    </w:p>
    <w:p w:rsidR="00787254" w:rsidRPr="00787254" w:rsidRDefault="00787254" w:rsidP="00787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 w:val="28"/>
        </w:rPr>
      </w:pPr>
      <w:r w:rsidRPr="00787254">
        <w:rPr>
          <w:rFonts w:cs="Times"/>
          <w:sz w:val="28"/>
        </w:rPr>
        <w:t xml:space="preserve"> Centré d’abord sur l’évocation historique du nazisme, du fascisme, et du bolchévisme, le séminaire portera sur les débats historiographiques et les principales interprétations qui ont été données de ces « phénomènes ». Seront évoquées non seulement les principales interprétations proposées par les historiens, mais aussi quelques-unes des controverses et usages politiques </w:t>
      </w:r>
      <w:proofErr w:type="gramStart"/>
      <w:r w:rsidRPr="00787254">
        <w:rPr>
          <w:rFonts w:cs="Times"/>
          <w:sz w:val="28"/>
        </w:rPr>
        <w:t>auxquelles</w:t>
      </w:r>
      <w:proofErr w:type="gramEnd"/>
      <w:r w:rsidRPr="00787254">
        <w:rPr>
          <w:rFonts w:cs="Times"/>
          <w:sz w:val="28"/>
        </w:rPr>
        <w:t xml:space="preserve"> elles ont donné lieu, de l’entre-deux-guerres jusqu’à nos jours.</w:t>
      </w:r>
    </w:p>
    <w:p w:rsidR="00787254" w:rsidRPr="00787254" w:rsidRDefault="00787254" w:rsidP="00787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 w:val="28"/>
        </w:rPr>
      </w:pPr>
      <w:r w:rsidRPr="00787254">
        <w:rPr>
          <w:rFonts w:cs="Times"/>
          <w:sz w:val="28"/>
        </w:rPr>
        <w:t xml:space="preserve">   On ne se limitera pas, en effet, à l’évocation des travaux des spécialistes, mais l’on envisagera également certains usages publics, querelles politiques et « révisions » historiographiques des dernières décennies</w:t>
      </w:r>
      <w:r w:rsidRPr="00787254">
        <w:rPr>
          <w:rStyle w:val="lang-de"/>
          <w:sz w:val="28"/>
          <w:lang w:val="de-DE"/>
        </w:rPr>
        <w:t xml:space="preserve">, </w:t>
      </w:r>
      <w:proofErr w:type="spellStart"/>
      <w:r w:rsidRPr="00787254">
        <w:rPr>
          <w:rStyle w:val="lang-de"/>
          <w:sz w:val="28"/>
          <w:lang w:val="de-DE"/>
        </w:rPr>
        <w:t>jusqu’aux</w:t>
      </w:r>
      <w:proofErr w:type="spellEnd"/>
      <w:r w:rsidRPr="00787254">
        <w:rPr>
          <w:rStyle w:val="lang-de"/>
          <w:sz w:val="28"/>
          <w:lang w:val="de-DE"/>
        </w:rPr>
        <w:t xml:space="preserve"> </w:t>
      </w:r>
      <w:proofErr w:type="spellStart"/>
      <w:r w:rsidRPr="00787254">
        <w:rPr>
          <w:rStyle w:val="lang-de"/>
          <w:sz w:val="28"/>
          <w:lang w:val="de-DE"/>
        </w:rPr>
        <w:t>réapparitions</w:t>
      </w:r>
      <w:proofErr w:type="spellEnd"/>
      <w:r w:rsidRPr="00787254">
        <w:rPr>
          <w:rFonts w:cs="Times"/>
          <w:sz w:val="28"/>
        </w:rPr>
        <w:t xml:space="preserve"> récentes de cette notion controversée à propos des interprétations de la nature de « l’Etat islamique ».  </w:t>
      </w:r>
    </w:p>
    <w:p w:rsidR="00787254" w:rsidRDefault="00787254" w:rsidP="00787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 w:val="28"/>
        </w:rPr>
      </w:pPr>
      <w:r w:rsidRPr="00787254">
        <w:rPr>
          <w:rFonts w:cs="Times"/>
          <w:sz w:val="28"/>
        </w:rPr>
        <w:t xml:space="preserve"> </w:t>
      </w:r>
    </w:p>
    <w:p w:rsidR="00787254" w:rsidRPr="00787254" w:rsidRDefault="00787254" w:rsidP="00787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 w:val="28"/>
        </w:rPr>
      </w:pPr>
    </w:p>
    <w:p w:rsidR="00787254" w:rsidRPr="00787254" w:rsidRDefault="00787254" w:rsidP="00787254">
      <w:pPr>
        <w:rPr>
          <w:b/>
          <w:u w:val="single"/>
        </w:rPr>
      </w:pPr>
      <w:r w:rsidRPr="00787254">
        <w:rPr>
          <w:b/>
          <w:u w:val="single"/>
        </w:rPr>
        <w:t>Bibliographie</w:t>
      </w:r>
    </w:p>
    <w:p w:rsidR="00787254" w:rsidRPr="00787254" w:rsidRDefault="00787254" w:rsidP="00787254">
      <w:pPr>
        <w:jc w:val="both"/>
      </w:pPr>
      <w:r w:rsidRPr="00787254">
        <w:lastRenderedPageBreak/>
        <w:t xml:space="preserve">1. G. Gentile, </w:t>
      </w:r>
      <w:proofErr w:type="spellStart"/>
      <w:r w:rsidRPr="00787254">
        <w:t>B.Mussolini</w:t>
      </w:r>
      <w:proofErr w:type="spellEnd"/>
      <w:r w:rsidRPr="00787254">
        <w:t xml:space="preserve">, « La doctrine du fascisme » (1932), in E. </w:t>
      </w:r>
      <w:proofErr w:type="spellStart"/>
      <w:r w:rsidRPr="00787254">
        <w:t>Traverso</w:t>
      </w:r>
      <w:proofErr w:type="spellEnd"/>
      <w:r w:rsidRPr="00787254">
        <w:t xml:space="preserve">, </w:t>
      </w:r>
      <w:r w:rsidRPr="00787254">
        <w:rPr>
          <w:i/>
        </w:rPr>
        <w:t>Le totalitarisme. Le XXème siècle en débat</w:t>
      </w:r>
      <w:r w:rsidRPr="00787254">
        <w:t>, 2001, p. 122-137</w:t>
      </w:r>
    </w:p>
    <w:p w:rsidR="00787254" w:rsidRPr="00787254" w:rsidRDefault="00787254" w:rsidP="00787254">
      <w:pPr>
        <w:jc w:val="both"/>
      </w:pPr>
      <w:r w:rsidRPr="00787254">
        <w:t xml:space="preserve">2. L. Sturzo, « L’Etat totalitaire » (1936-1938), in E. </w:t>
      </w:r>
      <w:proofErr w:type="spellStart"/>
      <w:r w:rsidRPr="00787254">
        <w:t>Traverso</w:t>
      </w:r>
      <w:proofErr w:type="spellEnd"/>
      <w:r w:rsidRPr="00787254">
        <w:t xml:space="preserve">, </w:t>
      </w:r>
      <w:r w:rsidRPr="00787254">
        <w:rPr>
          <w:i/>
        </w:rPr>
        <w:t>Le totalitarisme. Le XXème siècle en débat</w:t>
      </w:r>
      <w:r w:rsidRPr="00787254">
        <w:t>, 2001, p. 216-234.</w:t>
      </w:r>
    </w:p>
    <w:p w:rsidR="00787254" w:rsidRPr="00787254" w:rsidRDefault="00787254" w:rsidP="00787254">
      <w:pPr>
        <w:jc w:val="both"/>
      </w:pPr>
      <w:r w:rsidRPr="00787254">
        <w:t xml:space="preserve">3. Enzo </w:t>
      </w:r>
      <w:proofErr w:type="spellStart"/>
      <w:r w:rsidRPr="00787254">
        <w:t>Collotti</w:t>
      </w:r>
      <w:proofErr w:type="spellEnd"/>
      <w:r w:rsidRPr="00787254">
        <w:t xml:space="preserve">, « L’Etat totalitaire », in E. </w:t>
      </w:r>
      <w:proofErr w:type="spellStart"/>
      <w:r w:rsidRPr="00787254">
        <w:t>Traverso</w:t>
      </w:r>
      <w:proofErr w:type="spellEnd"/>
      <w:r w:rsidRPr="00787254">
        <w:t xml:space="preserve">, </w:t>
      </w:r>
      <w:r w:rsidRPr="00787254">
        <w:rPr>
          <w:i/>
        </w:rPr>
        <w:t>Le totalitarisme. Le XXème siècle en débat</w:t>
      </w:r>
      <w:r w:rsidRPr="00787254">
        <w:t>, 2001, p. 818-845.</w:t>
      </w:r>
    </w:p>
    <w:p w:rsidR="00787254" w:rsidRPr="00787254" w:rsidRDefault="00787254" w:rsidP="00787254">
      <w:pPr>
        <w:jc w:val="both"/>
      </w:pPr>
      <w:r w:rsidRPr="00787254">
        <w:t xml:space="preserve">4. Emilio Gentile, </w:t>
      </w:r>
      <w:r w:rsidRPr="00787254">
        <w:rPr>
          <w:i/>
        </w:rPr>
        <w:t>La voie italienne au totalitarisme. Le parti et l’Etat sous le régime fasciste</w:t>
      </w:r>
      <w:r w:rsidRPr="00787254">
        <w:t>, 2004 (1995). Le chapitre I : Le parti fasciste selon l’analyse politique des contemporains (p. 15-60).</w:t>
      </w:r>
    </w:p>
    <w:p w:rsidR="00787254" w:rsidRPr="00787254" w:rsidRDefault="00787254" w:rsidP="00787254">
      <w:pPr>
        <w:jc w:val="both"/>
      </w:pPr>
      <w:r w:rsidRPr="00787254">
        <w:t xml:space="preserve">5. Emilio Gentile, </w:t>
      </w:r>
      <w:r w:rsidRPr="00787254">
        <w:rPr>
          <w:i/>
        </w:rPr>
        <w:t>La religion fasciste. La sacralisation de la politique dans l’Italie fasciste</w:t>
      </w:r>
      <w:r w:rsidRPr="00787254">
        <w:t>, 2002 (1993). Le chapitre IV : La liturgie de l’harmonie collective (p. 157-197), et/ou la Conclusion : Le fascisme et la sacralisation de la politique (p. 288-305).</w:t>
      </w:r>
    </w:p>
    <w:p w:rsidR="00787254" w:rsidRPr="00787254" w:rsidRDefault="00787254" w:rsidP="00FC276C">
      <w:pPr>
        <w:spacing w:beforeLines="1" w:before="2" w:afterLines="1" w:after="2"/>
        <w:jc w:val="both"/>
        <w:outlineLvl w:val="0"/>
        <w:rPr>
          <w:kern w:val="36"/>
        </w:rPr>
      </w:pPr>
      <w:r w:rsidRPr="00787254">
        <w:rPr>
          <w:kern w:val="36"/>
        </w:rPr>
        <w:t xml:space="preserve">6. Emilio Gentile, </w:t>
      </w:r>
      <w:r w:rsidRPr="00787254">
        <w:rPr>
          <w:i/>
          <w:kern w:val="36"/>
        </w:rPr>
        <w:t>Qu'est-ce que le fascisme ? Problèmes et perspectives d'interprétation</w:t>
      </w:r>
      <w:r w:rsidRPr="00787254">
        <w:rPr>
          <w:kern w:val="36"/>
        </w:rPr>
        <w:t>, 2004 (2002). Le chapitre X : « L’homme nouveau » du fascisme, et/ ou le chapitre XI : La modernité totalitaire. Pages non indiquées.</w:t>
      </w:r>
    </w:p>
    <w:p w:rsidR="00787254" w:rsidRPr="00787254" w:rsidRDefault="00787254" w:rsidP="00FC276C">
      <w:pPr>
        <w:spacing w:beforeLines="1" w:before="2" w:afterLines="1" w:after="2"/>
        <w:jc w:val="both"/>
        <w:outlineLvl w:val="0"/>
        <w:rPr>
          <w:kern w:val="36"/>
        </w:rPr>
      </w:pPr>
      <w:r w:rsidRPr="00787254">
        <w:rPr>
          <w:kern w:val="36"/>
        </w:rPr>
        <w:t xml:space="preserve">7. Renzo de Felice, </w:t>
      </w:r>
      <w:r w:rsidRPr="00787254">
        <w:rPr>
          <w:i/>
          <w:kern w:val="36"/>
        </w:rPr>
        <w:t>Les interprétations  du fascisme</w:t>
      </w:r>
      <w:r w:rsidRPr="00787254">
        <w:rPr>
          <w:kern w:val="36"/>
        </w:rPr>
        <w:t>, 2000 (1969). Le chapitre 2 de la première partie : Les interprétations « classiques », p. 49-99.</w:t>
      </w:r>
    </w:p>
    <w:p w:rsidR="00787254" w:rsidRPr="00787254" w:rsidRDefault="00787254" w:rsidP="00787254">
      <w:pPr>
        <w:jc w:val="both"/>
      </w:pPr>
      <w:r w:rsidRPr="00787254">
        <w:t xml:space="preserve">8. Renzo de Felice, </w:t>
      </w:r>
      <w:proofErr w:type="spellStart"/>
      <w:r w:rsidRPr="00787254">
        <w:rPr>
          <w:i/>
        </w:rPr>
        <w:t>Intervista</w:t>
      </w:r>
      <w:proofErr w:type="spellEnd"/>
      <w:r w:rsidRPr="00787254">
        <w:rPr>
          <w:i/>
        </w:rPr>
        <w:t xml:space="preserve"> </w:t>
      </w:r>
      <w:proofErr w:type="spellStart"/>
      <w:r w:rsidRPr="00787254">
        <w:rPr>
          <w:i/>
        </w:rPr>
        <w:t>sul</w:t>
      </w:r>
      <w:proofErr w:type="spellEnd"/>
      <w:r w:rsidRPr="00787254">
        <w:rPr>
          <w:i/>
        </w:rPr>
        <w:t xml:space="preserve"> </w:t>
      </w:r>
      <w:proofErr w:type="spellStart"/>
      <w:r w:rsidRPr="00787254">
        <w:rPr>
          <w:i/>
        </w:rPr>
        <w:t>fascismo</w:t>
      </w:r>
      <w:proofErr w:type="spellEnd"/>
      <w:r w:rsidRPr="00787254">
        <w:rPr>
          <w:i/>
        </w:rPr>
        <w:t xml:space="preserve">, </w:t>
      </w:r>
      <w:r w:rsidRPr="00787254">
        <w:t>1975 (non traduit en français). En entier, une centaine de pages.</w:t>
      </w:r>
    </w:p>
    <w:p w:rsidR="00787254" w:rsidRPr="00787254" w:rsidRDefault="00787254" w:rsidP="00787254">
      <w:pPr>
        <w:jc w:val="both"/>
      </w:pPr>
      <w:r w:rsidRPr="00787254">
        <w:t xml:space="preserve">9. Renzo de Felice, </w:t>
      </w:r>
      <w:r w:rsidRPr="00787254">
        <w:rPr>
          <w:i/>
        </w:rPr>
        <w:t>Les rouges et les noirs</w:t>
      </w:r>
      <w:r w:rsidRPr="00787254">
        <w:t>, 1999 (1995). En entier, un peu plus de 100 pages.</w:t>
      </w:r>
    </w:p>
    <w:p w:rsidR="00787254" w:rsidRPr="00787254" w:rsidRDefault="00787254" w:rsidP="00787254">
      <w:pPr>
        <w:jc w:val="both"/>
      </w:pPr>
      <w:r w:rsidRPr="00787254">
        <w:t xml:space="preserve">10. </w:t>
      </w:r>
      <w:proofErr w:type="gramStart"/>
      <w:r w:rsidRPr="00787254">
        <w:t>E .</w:t>
      </w:r>
      <w:proofErr w:type="gramEnd"/>
      <w:r w:rsidRPr="00787254">
        <w:t xml:space="preserve"> </w:t>
      </w:r>
      <w:proofErr w:type="spellStart"/>
      <w:r w:rsidRPr="00787254">
        <w:t>Traverso</w:t>
      </w:r>
      <w:proofErr w:type="spellEnd"/>
      <w:r w:rsidRPr="00787254">
        <w:t xml:space="preserve">, </w:t>
      </w:r>
      <w:r w:rsidRPr="00787254">
        <w:rPr>
          <w:i/>
        </w:rPr>
        <w:t>Interpréter les violences du XXème siècle</w:t>
      </w:r>
      <w:r w:rsidRPr="00787254">
        <w:t xml:space="preserve">, 2011 (le chapitre 3 : « Fascisme. Sur G. L. </w:t>
      </w:r>
      <w:proofErr w:type="spellStart"/>
      <w:r w:rsidRPr="00787254">
        <w:t>Mosse</w:t>
      </w:r>
      <w:proofErr w:type="spellEnd"/>
      <w:r w:rsidRPr="00787254">
        <w:t xml:space="preserve">, Z. </w:t>
      </w:r>
      <w:proofErr w:type="spellStart"/>
      <w:r w:rsidRPr="00787254">
        <w:t>Sternhell</w:t>
      </w:r>
      <w:proofErr w:type="spellEnd"/>
      <w:r w:rsidRPr="00787254">
        <w:t xml:space="preserve"> et E. Gentile », p. 91-127).</w:t>
      </w:r>
    </w:p>
    <w:p w:rsidR="00787254" w:rsidRPr="00787254" w:rsidRDefault="00787254" w:rsidP="007872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rPr>
      </w:pPr>
      <w:r w:rsidRPr="00787254">
        <w:rPr>
          <w:rFonts w:cs="Times"/>
        </w:rPr>
        <w:t xml:space="preserve">11. </w:t>
      </w:r>
      <w:r w:rsidRPr="00787254">
        <w:rPr>
          <w:rFonts w:cs="Helvetica"/>
        </w:rPr>
        <w:t xml:space="preserve">Hannah Arendt, </w:t>
      </w:r>
      <w:r w:rsidRPr="00787254">
        <w:rPr>
          <w:rFonts w:cs="Helvetica"/>
          <w:i/>
          <w:iCs/>
        </w:rPr>
        <w:t>Les origines du totalitarisme - Eichmann à Jérusalem</w:t>
      </w:r>
      <w:r w:rsidRPr="00787254">
        <w:rPr>
          <w:rFonts w:cs="Helvetica"/>
        </w:rPr>
        <w:t>, Paris, Gallimard, 2002.</w:t>
      </w:r>
    </w:p>
    <w:p w:rsidR="00787254" w:rsidRPr="00787254" w:rsidRDefault="00787254" w:rsidP="00787254"/>
    <w:p w:rsidR="00787254" w:rsidRPr="00787254" w:rsidRDefault="00787254" w:rsidP="00787254">
      <w:pPr>
        <w:spacing w:line="240" w:lineRule="exact"/>
        <w:rPr>
          <w:b/>
          <w:sz w:val="28"/>
        </w:rPr>
      </w:pPr>
    </w:p>
    <w:p w:rsidR="00787254" w:rsidRPr="00787254" w:rsidRDefault="00787254" w:rsidP="00787254">
      <w:pPr>
        <w:jc w:val="both"/>
        <w:rPr>
          <w:sz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2"/>
      </w:tblGrid>
      <w:tr w:rsidR="00787254" w:rsidRPr="00787254">
        <w:tc>
          <w:tcPr>
            <w:tcW w:w="9288" w:type="dxa"/>
          </w:tcPr>
          <w:p w:rsidR="00787254" w:rsidRPr="00787254" w:rsidRDefault="00787254" w:rsidP="00F36676">
            <w:pPr>
              <w:jc w:val="center"/>
              <w:rPr>
                <w:sz w:val="28"/>
              </w:rPr>
            </w:pPr>
            <w:r w:rsidRPr="00787254">
              <w:rPr>
                <w:sz w:val="28"/>
              </w:rPr>
              <w:t>M1-M2</w:t>
            </w:r>
          </w:p>
          <w:p w:rsidR="00787254" w:rsidRPr="00787254" w:rsidRDefault="00787254" w:rsidP="00F36676">
            <w:pPr>
              <w:rPr>
                <w:b/>
                <w:sz w:val="28"/>
              </w:rPr>
            </w:pPr>
          </w:p>
          <w:p w:rsidR="00787254" w:rsidRPr="00787254" w:rsidRDefault="00787254" w:rsidP="00F36676">
            <w:pPr>
              <w:jc w:val="center"/>
              <w:rPr>
                <w:b/>
                <w:sz w:val="28"/>
              </w:rPr>
            </w:pPr>
            <w:r w:rsidRPr="00787254">
              <w:rPr>
                <w:b/>
                <w:sz w:val="28"/>
              </w:rPr>
              <w:t>Aire culturelle italienne</w:t>
            </w:r>
          </w:p>
          <w:p w:rsidR="00787254" w:rsidRPr="00787254" w:rsidRDefault="00787254" w:rsidP="00F36676">
            <w:pPr>
              <w:jc w:val="center"/>
              <w:rPr>
                <w:b/>
                <w:sz w:val="28"/>
              </w:rPr>
            </w:pPr>
          </w:p>
          <w:p w:rsidR="00787254" w:rsidRPr="00787254" w:rsidRDefault="00787254" w:rsidP="00787254">
            <w:pPr>
              <w:jc w:val="both"/>
              <w:rPr>
                <w:b/>
                <w:sz w:val="28"/>
              </w:rPr>
            </w:pPr>
            <w:r w:rsidRPr="00787254">
              <w:rPr>
                <w:b/>
                <w:sz w:val="28"/>
              </w:rPr>
              <w:t xml:space="preserve">De l’ennemi de la société à l’ennemi de l’Etat (droit et littérature, Italie, XVIIIème-XXème siècles). </w:t>
            </w:r>
          </w:p>
          <w:p w:rsidR="00787254" w:rsidRPr="00787254" w:rsidRDefault="00787254" w:rsidP="00F36676">
            <w:pPr>
              <w:jc w:val="both"/>
              <w:rPr>
                <w:b/>
                <w:sz w:val="28"/>
              </w:rPr>
            </w:pPr>
          </w:p>
          <w:p w:rsidR="00787254" w:rsidRPr="00787254" w:rsidRDefault="00787254" w:rsidP="00F36676">
            <w:pPr>
              <w:jc w:val="center"/>
              <w:rPr>
                <w:b/>
                <w:sz w:val="28"/>
              </w:rPr>
            </w:pPr>
          </w:p>
          <w:p w:rsidR="00787254" w:rsidRPr="00787254" w:rsidRDefault="00787254" w:rsidP="00F36676">
            <w:pPr>
              <w:rPr>
                <w:sz w:val="28"/>
              </w:rPr>
            </w:pPr>
            <w:r w:rsidRPr="00787254">
              <w:rPr>
                <w:sz w:val="28"/>
              </w:rPr>
              <w:t xml:space="preserve">Enseignant :  </w:t>
            </w:r>
          </w:p>
          <w:p w:rsidR="00787254" w:rsidRPr="00787254" w:rsidRDefault="00787254" w:rsidP="00F36676">
            <w:pPr>
              <w:rPr>
                <w:color w:val="000000"/>
                <w:sz w:val="28"/>
              </w:rPr>
            </w:pPr>
            <w:r w:rsidRPr="00787254">
              <w:rPr>
                <w:color w:val="000000"/>
                <w:sz w:val="28"/>
              </w:rPr>
              <w:t xml:space="preserve">Xavier </w:t>
            </w:r>
            <w:r w:rsidRPr="00787254">
              <w:rPr>
                <w:caps/>
                <w:color w:val="000000"/>
                <w:sz w:val="28"/>
              </w:rPr>
              <w:t>Tabet</w:t>
            </w:r>
            <w:r w:rsidRPr="00787254">
              <w:rPr>
                <w:color w:val="000000"/>
                <w:sz w:val="28"/>
              </w:rPr>
              <w:t xml:space="preserve"> (PR au département d’études italiennes)</w:t>
            </w:r>
          </w:p>
          <w:p w:rsidR="00787254" w:rsidRPr="00787254" w:rsidRDefault="00787254" w:rsidP="00F36676">
            <w:pPr>
              <w:rPr>
                <w:sz w:val="28"/>
              </w:rPr>
            </w:pPr>
          </w:p>
          <w:p w:rsidR="00787254" w:rsidRPr="00B87102" w:rsidRDefault="00787254" w:rsidP="00177D3C">
            <w:pPr>
              <w:jc w:val="both"/>
              <w:rPr>
                <w:b/>
                <w:sz w:val="28"/>
              </w:rPr>
            </w:pPr>
            <w:r w:rsidRPr="00787254">
              <w:rPr>
                <w:b/>
                <w:sz w:val="28"/>
              </w:rPr>
              <w:t xml:space="preserve">Premier semestre 2017-2018 </w:t>
            </w:r>
            <w:r w:rsidR="00BD10F9">
              <w:rPr>
                <w:sz w:val="28"/>
              </w:rPr>
              <w:t>C</w:t>
            </w:r>
            <w:r w:rsidRPr="00787254">
              <w:rPr>
                <w:sz w:val="28"/>
              </w:rPr>
              <w:t>ours ouvert aux ét</w:t>
            </w:r>
            <w:r w:rsidR="00BD10F9">
              <w:rPr>
                <w:sz w:val="28"/>
              </w:rPr>
              <w:t xml:space="preserve">udiants de master IEE, et de </w:t>
            </w:r>
            <w:r w:rsidRPr="00787254">
              <w:rPr>
                <w:sz w:val="28"/>
              </w:rPr>
              <w:t xml:space="preserve">M1/M2 sciences po, Licence italien et Licence </w:t>
            </w:r>
            <w:proofErr w:type="spellStart"/>
            <w:r w:rsidRPr="00787254">
              <w:rPr>
                <w:sz w:val="28"/>
              </w:rPr>
              <w:t>Lea</w:t>
            </w:r>
            <w:proofErr w:type="spellEnd"/>
            <w:r w:rsidRPr="00787254">
              <w:rPr>
                <w:sz w:val="28"/>
              </w:rPr>
              <w:t xml:space="preserve">,  Erasmus Italie, </w:t>
            </w:r>
            <w:r w:rsidRPr="00787254">
              <w:rPr>
                <w:b/>
                <w:color w:val="000000"/>
                <w:sz w:val="28"/>
              </w:rPr>
              <w:t xml:space="preserve">jeudi 15h-18h, Mail : </w:t>
            </w:r>
            <w:hyperlink r:id="rId5" w:history="1">
              <w:r w:rsidR="00F21CD7" w:rsidRPr="004D4B09">
                <w:rPr>
                  <w:rStyle w:val="Lienhypertexte"/>
                  <w:b/>
                  <w:sz w:val="28"/>
                </w:rPr>
                <w:t>xavier.tabet@wanadoo.fr</w:t>
              </w:r>
            </w:hyperlink>
            <w:r w:rsidR="00B87102">
              <w:t xml:space="preserve"> </w:t>
            </w:r>
            <w:r w:rsidR="00B87102">
              <w:rPr>
                <w:b/>
              </w:rPr>
              <w:t>SALLE B 325</w:t>
            </w:r>
            <w:r w:rsidR="000E332F">
              <w:rPr>
                <w:b/>
              </w:rPr>
              <w:t xml:space="preserve"> / </w:t>
            </w:r>
            <w:r w:rsidR="000E332F" w:rsidRPr="000E332F">
              <w:rPr>
                <w:b/>
                <w:i/>
                <w:sz w:val="28"/>
              </w:rPr>
              <w:t>Début le 28 septembre</w:t>
            </w:r>
          </w:p>
        </w:tc>
      </w:tr>
    </w:tbl>
    <w:p w:rsidR="00787254" w:rsidRPr="00787254" w:rsidRDefault="00787254" w:rsidP="00787254">
      <w:pPr>
        <w:rPr>
          <w:b/>
          <w:sz w:val="28"/>
        </w:rPr>
      </w:pPr>
    </w:p>
    <w:p w:rsidR="00787254" w:rsidRPr="00787254" w:rsidRDefault="00787254" w:rsidP="00787254">
      <w:pPr>
        <w:rPr>
          <w:sz w:val="28"/>
        </w:rPr>
      </w:pPr>
      <w:r w:rsidRPr="00787254">
        <w:rPr>
          <w:b/>
          <w:sz w:val="28"/>
        </w:rPr>
        <w:t xml:space="preserve">                                                                           </w:t>
      </w:r>
      <w:r w:rsidRPr="00787254">
        <w:rPr>
          <w:sz w:val="28"/>
        </w:rPr>
        <w:t>Langue d’enseignement </w:t>
      </w:r>
      <w:r>
        <w:rPr>
          <w:sz w:val="28"/>
        </w:rPr>
        <w:t xml:space="preserve">: </w:t>
      </w:r>
      <w:r w:rsidRPr="00787254">
        <w:rPr>
          <w:sz w:val="28"/>
        </w:rPr>
        <w:t>français</w:t>
      </w:r>
    </w:p>
    <w:p w:rsidR="00787254" w:rsidRPr="00787254" w:rsidRDefault="00787254" w:rsidP="00787254">
      <w:pPr>
        <w:jc w:val="right"/>
        <w:rPr>
          <w:sz w:val="28"/>
        </w:rPr>
      </w:pPr>
      <w:r w:rsidRPr="00787254">
        <w:rPr>
          <w:sz w:val="28"/>
        </w:rPr>
        <w:t>Langue des textes étudiés : français</w:t>
      </w:r>
    </w:p>
    <w:p w:rsidR="00787254" w:rsidRPr="00787254" w:rsidRDefault="00787254" w:rsidP="00787254">
      <w:pPr>
        <w:spacing w:line="240" w:lineRule="exact"/>
        <w:rPr>
          <w:b/>
          <w:sz w:val="28"/>
        </w:rPr>
      </w:pPr>
    </w:p>
    <w:p w:rsidR="00AD28C2" w:rsidRDefault="00AD28C2" w:rsidP="00AD28C2">
      <w:pPr>
        <w:jc w:val="both"/>
      </w:pPr>
    </w:p>
    <w:p w:rsidR="0029208F" w:rsidRDefault="0029208F" w:rsidP="0029208F">
      <w:pPr>
        <w:jc w:val="both"/>
      </w:pPr>
    </w:p>
    <w:p w:rsidR="0029208F" w:rsidRDefault="0029208F" w:rsidP="0029208F">
      <w:pPr>
        <w:jc w:val="both"/>
      </w:pPr>
      <w:r>
        <w:lastRenderedPageBreak/>
        <w:t xml:space="preserve">Le cours portera sur plusieurs figures juridiques, politiques et littéraires de « l’ennemi », à partir en particulier de ce laboratoire politique que représente l’Italie, des Lumières jusqu’au Fascisme. Au centre de notre parcours se situera l’évocation de « l’ennemi de l’Etat » dans le droit pénal du régime mussolinien, à partir des </w:t>
      </w:r>
      <w:proofErr w:type="spellStart"/>
      <w:r>
        <w:rPr>
          <w:i/>
        </w:rPr>
        <w:t>leggi</w:t>
      </w:r>
      <w:proofErr w:type="spellEnd"/>
      <w:r>
        <w:t xml:space="preserve"> </w:t>
      </w:r>
      <w:proofErr w:type="spellStart"/>
      <w:r w:rsidRPr="0035625E">
        <w:rPr>
          <w:i/>
        </w:rPr>
        <w:t>fascistissime</w:t>
      </w:r>
      <w:proofErr w:type="spellEnd"/>
      <w:r w:rsidRPr="0035625E">
        <w:rPr>
          <w:i/>
        </w:rPr>
        <w:t xml:space="preserve"> </w:t>
      </w:r>
      <w:r>
        <w:t>de 1925/1926. Si l’obsession, et l’absolutisation, de l’ennemi interne  est bien inhérente aux totalitarismes, le fait est cependant que ces régimes ont utilisé et étendu les mécanismes déjà présents dans la plupart des autres sociétés. Et qu’ils ont, dans une large mesure, utilisé les idées et les procédés de notre rationalité politique.</w:t>
      </w:r>
    </w:p>
    <w:p w:rsidR="0029208F" w:rsidRDefault="0029208F" w:rsidP="0029208F">
      <w:pPr>
        <w:jc w:val="both"/>
      </w:pPr>
      <w:r>
        <w:t xml:space="preserve"> Avant l’époque du Fascisme, nous évoquerons ainsi la constitution « biologique » de la figure de l’ennemi de la société, à partir des théories autour du « criminel né » chez l’italien Cesare Lombroso, le père de l’anthropologie criminelle en Europe, à la fin du XIXème siècle, lorsque l’on est passé de la réflexion sur les </w:t>
      </w:r>
      <w:r w:rsidRPr="0013362F">
        <w:rPr>
          <w:i/>
        </w:rPr>
        <w:t>Délits et les peines</w:t>
      </w:r>
      <w:r>
        <w:t xml:space="preserve"> (Beccaria, 1764) à celle sur </w:t>
      </w:r>
      <w:r>
        <w:rPr>
          <w:i/>
        </w:rPr>
        <w:t xml:space="preserve">L’homme criminel </w:t>
      </w:r>
      <w:r>
        <w:t>(Lombroso, 1876), c’est-à-dire du délit au délinquant, mais aussi de la répression du « fait » à celle de la « dangerosité ».</w:t>
      </w:r>
    </w:p>
    <w:p w:rsidR="0029208F" w:rsidRDefault="0029208F" w:rsidP="0029208F">
      <w:pPr>
        <w:jc w:val="both"/>
      </w:pPr>
      <w:r>
        <w:t xml:space="preserve">   Enfin, en nous rapprochant en revanche de notre propre époque, nous nous interrogerons sur la permanence et les transformations des figures de l’ennemi après 1945, lorsque se dessine une nouvelle figure : celle du criminel contre l’humanité  - voire de « l’ennemi de l’humanité », selon les thèses de Carl Schmitt (1888-1985) -,  après le procès de Nuremberg, à l’origine d’un droit pénal international et supra-étatique. Sera évoquée pour les années 1990 et 2000, par-delà le cadre italien, la nouvelle  guerre « globale », ou « totale »,</w:t>
      </w:r>
      <w:r w:rsidR="00682AD7">
        <w:t xml:space="preserve">  contre le « </w:t>
      </w:r>
      <w:r w:rsidR="00FA185D">
        <w:t>terrorisme islami</w:t>
      </w:r>
      <w:r w:rsidR="00682AD7">
        <w:t>que »</w:t>
      </w:r>
      <w:r>
        <w:t xml:space="preserve">, perçu comme le nouvel ennemi de l’occident - et perçu bien souvent comme la manifestation d’un « fascisme », ou d’un « totalitarisme islamique ». Seront présentés également certains débats contemporains, parfois inquiétants, autour de ce que l’on appelle aujourd’hui le « droit pénal de l’ennemi », selon ceux qui estiment que la lutte contre le terrorisme - menée par les démocraties occidentales dans le cadre des lois d’exception et états </w:t>
      </w:r>
      <w:r w:rsidR="00682AD7">
        <w:t>d’urgence actuels, devenus la norme</w:t>
      </w:r>
      <w:r>
        <w:t xml:space="preserve"> -  doit amener à opérer la distinction entre un </w:t>
      </w:r>
      <w:r w:rsidRPr="00E303C3">
        <w:rPr>
          <w:i/>
        </w:rPr>
        <w:t xml:space="preserve">droit pénal du citoyen </w:t>
      </w:r>
      <w:r>
        <w:t xml:space="preserve">et un </w:t>
      </w:r>
      <w:r w:rsidRPr="00E303C3">
        <w:rPr>
          <w:i/>
        </w:rPr>
        <w:t>droit pénal de l’ennemi</w:t>
      </w:r>
      <w:r>
        <w:rPr>
          <w:i/>
        </w:rPr>
        <w:t> </w:t>
      </w:r>
      <w:r>
        <w:t>; une distinction justifiant des procédures extraordinaires envers des « non personnes », des procédures souvent attentatoires à l’état de droit.</w:t>
      </w:r>
    </w:p>
    <w:p w:rsidR="0029208F" w:rsidRDefault="0029208F" w:rsidP="0029208F">
      <w:pPr>
        <w:jc w:val="both"/>
      </w:pPr>
      <w:r>
        <w:t xml:space="preserve">   Interrogeant les permanences et transformations de la figure de l’ennemi aux XIXème et XXème siècles, à partir aussi de ce que Michel Foucault appelle « la notion d’individu dangereux », la perspective du cours sera bien à la croisée du juridico-politique et du littéraire. Et l’on évoquera l’œuvre d’auteurs importants pour comprendre l’évolution des représentations modernes de la criminal</w:t>
      </w:r>
      <w:r w:rsidR="00372947">
        <w:t>ité, comme Cesare Beccaria (1738</w:t>
      </w:r>
      <w:r>
        <w:t>-1794), Cesare Lombroso (1835-1909), Emile Zola (1840-1902), ou Primo Levi (1919-1987).</w:t>
      </w:r>
    </w:p>
    <w:p w:rsidR="00682AD7" w:rsidRDefault="00682AD7" w:rsidP="0029208F">
      <w:pPr>
        <w:jc w:val="both"/>
      </w:pPr>
    </w:p>
    <w:p w:rsidR="00682AD7" w:rsidRPr="00FA185D" w:rsidRDefault="00682AD7" w:rsidP="0029208F">
      <w:pPr>
        <w:jc w:val="both"/>
        <w:rPr>
          <w:u w:val="single"/>
        </w:rPr>
      </w:pPr>
      <w:r w:rsidRPr="00FA185D">
        <w:rPr>
          <w:u w:val="single"/>
        </w:rPr>
        <w:t>Bibliographie indicative :</w:t>
      </w:r>
    </w:p>
    <w:p w:rsidR="00682AD7" w:rsidRDefault="00682AD7" w:rsidP="0029208F">
      <w:pPr>
        <w:jc w:val="both"/>
      </w:pPr>
    </w:p>
    <w:p w:rsidR="00682AD7" w:rsidRDefault="00682AD7" w:rsidP="0029208F">
      <w:pPr>
        <w:jc w:val="both"/>
      </w:pPr>
      <w:r w:rsidRPr="008504B2">
        <w:t xml:space="preserve">Cesare Beccaria, </w:t>
      </w:r>
      <w:r w:rsidRPr="008504B2">
        <w:rPr>
          <w:i/>
        </w:rPr>
        <w:t>Des délits et des peines</w:t>
      </w:r>
      <w:r w:rsidRPr="008504B2">
        <w:t>, traduction et annota</w:t>
      </w:r>
      <w:r>
        <w:t xml:space="preserve">tion par A. Fontana et X. </w:t>
      </w:r>
      <w:proofErr w:type="spellStart"/>
      <w:r>
        <w:t>Tabet</w:t>
      </w:r>
      <w:proofErr w:type="spellEnd"/>
      <w:r w:rsidRPr="008504B2">
        <w:t xml:space="preserve">, Gallimard, Bibliothèque </w:t>
      </w:r>
      <w:r>
        <w:t>de Philosophie, 2015</w:t>
      </w:r>
    </w:p>
    <w:p w:rsidR="00682AD7" w:rsidRDefault="00682AD7" w:rsidP="0029208F">
      <w:pPr>
        <w:jc w:val="both"/>
      </w:pPr>
      <w:r>
        <w:t xml:space="preserve">Primo Levi, </w:t>
      </w:r>
      <w:r w:rsidRPr="00682AD7">
        <w:rPr>
          <w:i/>
        </w:rPr>
        <w:t>Si c’est un homme</w:t>
      </w:r>
      <w:r>
        <w:t>, 1947 (toute édition de poche convient)</w:t>
      </w:r>
    </w:p>
    <w:p w:rsidR="00682AD7" w:rsidRDefault="00682AD7" w:rsidP="0029208F">
      <w:pPr>
        <w:jc w:val="both"/>
      </w:pPr>
      <w:r>
        <w:t>Stephen Jay Gould</w:t>
      </w:r>
      <w:r w:rsidRPr="00682AD7">
        <w:rPr>
          <w:i/>
        </w:rPr>
        <w:t>, La mal</w:t>
      </w:r>
      <w:r>
        <w:rPr>
          <w:i/>
        </w:rPr>
        <w:t>-</w:t>
      </w:r>
      <w:r w:rsidRPr="00682AD7">
        <w:rPr>
          <w:i/>
        </w:rPr>
        <w:t>mesure de l’homme</w:t>
      </w:r>
      <w:r>
        <w:t>, Paris, Odile Jacob, 1997</w:t>
      </w:r>
    </w:p>
    <w:p w:rsidR="00682AD7" w:rsidRDefault="00682AD7" w:rsidP="0029208F">
      <w:pPr>
        <w:jc w:val="both"/>
      </w:pPr>
      <w:r>
        <w:t xml:space="preserve">Jean-Claude Monod, </w:t>
      </w:r>
      <w:r w:rsidRPr="00682AD7">
        <w:rPr>
          <w:i/>
        </w:rPr>
        <w:t>Penser l’ennemi, affronter l’exception</w:t>
      </w:r>
      <w:r>
        <w:t>, Paris, La Découverte, 2016</w:t>
      </w:r>
    </w:p>
    <w:p w:rsidR="00682AD7" w:rsidRDefault="00682AD7" w:rsidP="0029208F">
      <w:pPr>
        <w:jc w:val="both"/>
      </w:pPr>
      <w:r>
        <w:t xml:space="preserve">Emile Zola, </w:t>
      </w:r>
      <w:r w:rsidRPr="00682AD7">
        <w:rPr>
          <w:i/>
        </w:rPr>
        <w:t>La bête humaine</w:t>
      </w:r>
      <w:r>
        <w:t>, 1876 (toute édition de poche convient)</w:t>
      </w:r>
    </w:p>
    <w:p w:rsidR="0029208F" w:rsidRDefault="0029208F" w:rsidP="0029208F">
      <w:pPr>
        <w:jc w:val="both"/>
      </w:pPr>
    </w:p>
    <w:p w:rsidR="0029208F" w:rsidRPr="00E14213" w:rsidRDefault="0029208F" w:rsidP="0029208F">
      <w:pPr>
        <w:jc w:val="both"/>
        <w:rPr>
          <w:i/>
        </w:rPr>
      </w:pPr>
      <w:r w:rsidRPr="00E14213">
        <w:rPr>
          <w:i/>
        </w:rPr>
        <w:t>Une bibliographie</w:t>
      </w:r>
      <w:r w:rsidR="00682AD7">
        <w:rPr>
          <w:i/>
        </w:rPr>
        <w:t xml:space="preserve"> plus</w:t>
      </w:r>
      <w:r w:rsidRPr="00E14213">
        <w:rPr>
          <w:i/>
        </w:rPr>
        <w:t xml:space="preserve"> détaillée et des indications de lectures seront fournies aux étudiants lors du premier cours.   </w:t>
      </w:r>
    </w:p>
    <w:p w:rsidR="007E162A" w:rsidRPr="00787254" w:rsidRDefault="00031279" w:rsidP="0029208F">
      <w:pPr>
        <w:jc w:val="both"/>
      </w:pPr>
    </w:p>
    <w:sectPr w:rsidR="007E162A" w:rsidRPr="00787254" w:rsidSect="00F3667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54"/>
    <w:rsid w:val="00031279"/>
    <w:rsid w:val="000E332F"/>
    <w:rsid w:val="00164C0E"/>
    <w:rsid w:val="0029208F"/>
    <w:rsid w:val="00372947"/>
    <w:rsid w:val="00395DE5"/>
    <w:rsid w:val="00682AD7"/>
    <w:rsid w:val="00787254"/>
    <w:rsid w:val="0082559E"/>
    <w:rsid w:val="008A5E86"/>
    <w:rsid w:val="009B099F"/>
    <w:rsid w:val="00AD28C2"/>
    <w:rsid w:val="00B87102"/>
    <w:rsid w:val="00BD10F9"/>
    <w:rsid w:val="00BE57A6"/>
    <w:rsid w:val="00C10998"/>
    <w:rsid w:val="00C938F5"/>
    <w:rsid w:val="00F21CD7"/>
    <w:rsid w:val="00FA185D"/>
    <w:rsid w:val="00FC276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2BBECE-69B8-4A40-B070-FAFDEB14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7254"/>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850DA6"/>
    <w:rPr>
      <w:rFonts w:ascii="Lucida Grande" w:eastAsiaTheme="minorHAnsi" w:hAnsi="Lucida Grande" w:cstheme="minorBidi"/>
      <w:sz w:val="18"/>
      <w:szCs w:val="18"/>
      <w:lang w:eastAsia="en-US"/>
    </w:rPr>
  </w:style>
  <w:style w:type="character" w:customStyle="1" w:styleId="TextedebullesCar">
    <w:name w:val="Texte de bulles Car"/>
    <w:basedOn w:val="Policepardfaut"/>
    <w:link w:val="Textedebulles"/>
    <w:uiPriority w:val="99"/>
    <w:semiHidden/>
    <w:locked/>
    <w:rsid w:val="00787254"/>
    <w:rPr>
      <w:rFonts w:ascii="Lucida Grande" w:hAnsi="Lucida Grande"/>
      <w:sz w:val="18"/>
      <w:szCs w:val="18"/>
    </w:rPr>
  </w:style>
  <w:style w:type="paragraph" w:styleId="Corpsdetexte2">
    <w:name w:val="Body Text 2"/>
    <w:basedOn w:val="Normal"/>
    <w:link w:val="Corpsdetexte2Car"/>
    <w:uiPriority w:val="99"/>
    <w:rsid w:val="00787254"/>
    <w:pPr>
      <w:spacing w:after="120" w:line="480" w:lineRule="auto"/>
    </w:pPr>
  </w:style>
  <w:style w:type="character" w:customStyle="1" w:styleId="Corpsdetexte2Car">
    <w:name w:val="Corps de texte 2 Car"/>
    <w:basedOn w:val="Policepardfaut"/>
    <w:link w:val="Corpsdetexte2"/>
    <w:uiPriority w:val="99"/>
    <w:rsid w:val="00787254"/>
    <w:rPr>
      <w:rFonts w:ascii="Times New Roman" w:eastAsia="Times New Roman" w:hAnsi="Times New Roman" w:cs="Times New Roman"/>
      <w:sz w:val="24"/>
      <w:szCs w:val="24"/>
      <w:lang w:eastAsia="fr-FR"/>
    </w:rPr>
  </w:style>
  <w:style w:type="character" w:customStyle="1" w:styleId="lang-de">
    <w:name w:val="lang-de"/>
    <w:basedOn w:val="Policepardfaut"/>
    <w:uiPriority w:val="99"/>
    <w:rsid w:val="00787254"/>
    <w:rPr>
      <w:rFonts w:cs="Times New Roman"/>
    </w:rPr>
  </w:style>
  <w:style w:type="character" w:styleId="Lienhypertexte">
    <w:name w:val="Hyperlink"/>
    <w:basedOn w:val="Policepardfaut"/>
    <w:uiPriority w:val="99"/>
    <w:semiHidden/>
    <w:unhideWhenUsed/>
    <w:rsid w:val="00787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avier.tabet@wanadoo.fr" TargetMode="External"/><Relationship Id="rId4" Type="http://schemas.openxmlformats.org/officeDocument/2006/relationships/hyperlink" Target="mailto:xavier.tabet@wanad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6787</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AVS consultants</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Julien Desnoyers</cp:lastModifiedBy>
  <cp:revision>2</cp:revision>
  <dcterms:created xsi:type="dcterms:W3CDTF">2017-09-14T14:07:00Z</dcterms:created>
  <dcterms:modified xsi:type="dcterms:W3CDTF">2017-09-14T14:07:00Z</dcterms:modified>
</cp:coreProperties>
</file>