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B3" w:rsidRDefault="0097472D" w:rsidP="0097472D">
      <w:pPr>
        <w:spacing w:after="0"/>
        <w:jc w:val="center"/>
        <w:rPr>
          <w:b/>
          <w:bCs/>
          <w:smallCaps/>
        </w:rPr>
      </w:pPr>
      <w:r w:rsidRPr="0097472D">
        <w:rPr>
          <w:b/>
          <w:bCs/>
          <w:smallCaps/>
        </w:rPr>
        <w:t xml:space="preserve">Programme de travail en temps de grève et de coronavirus </w:t>
      </w:r>
      <w:r w:rsidR="00D810A3">
        <w:rPr>
          <w:b/>
          <w:bCs/>
          <w:smallCaps/>
        </w:rPr>
        <w:t xml:space="preserve">S2 </w:t>
      </w:r>
      <w:r w:rsidRPr="0097472D">
        <w:rPr>
          <w:b/>
          <w:bCs/>
          <w:smallCaps/>
        </w:rPr>
        <w:t>2019-2020</w:t>
      </w:r>
    </w:p>
    <w:p w:rsidR="0097472D" w:rsidRDefault="0097472D" w:rsidP="0097472D">
      <w:pPr>
        <w:spacing w:after="0"/>
        <w:jc w:val="both"/>
        <w:rPr>
          <w:b/>
          <w:bCs/>
          <w:smallCaps/>
        </w:rPr>
      </w:pPr>
    </w:p>
    <w:p w:rsidR="0097472D" w:rsidRDefault="0097472D" w:rsidP="0097472D">
      <w:pPr>
        <w:spacing w:after="0"/>
        <w:jc w:val="both"/>
      </w:pPr>
      <w:r>
        <w:t>Impossible d’avoir une vision à court terme de l’année universitaire et du type de validation.</w:t>
      </w:r>
    </w:p>
    <w:p w:rsidR="00BE6FC2" w:rsidRDefault="00BE6FC2" w:rsidP="0097472D">
      <w:pPr>
        <w:spacing w:after="0"/>
        <w:jc w:val="both"/>
      </w:pPr>
      <w:r>
        <w:t>Merci de m’envoyer un mail si vous comptez vous inscrire dans ce cours.</w:t>
      </w:r>
      <w:r w:rsidR="00113C1C" w:rsidRPr="00113C1C">
        <w:t xml:space="preserve"> </w:t>
      </w:r>
      <w:hyperlink r:id="rId4" w:history="1">
        <w:r w:rsidR="00113C1C" w:rsidRPr="00414559">
          <w:rPr>
            <w:rStyle w:val="Lienhypertexte"/>
          </w:rPr>
          <w:t>ninon.grange@wanadoo.fr</w:t>
        </w:r>
      </w:hyperlink>
      <w:r w:rsidR="00113C1C">
        <w:t xml:space="preserve"> </w:t>
      </w:r>
      <w:bookmarkStart w:id="0" w:name="_GoBack"/>
      <w:bookmarkEnd w:id="0"/>
    </w:p>
    <w:p w:rsidR="00BE6FC2" w:rsidRDefault="00BE6FC2" w:rsidP="0097472D">
      <w:pPr>
        <w:spacing w:after="0"/>
        <w:jc w:val="both"/>
      </w:pPr>
      <w:r>
        <w:t>!!! Ce mail est indicatif, il ne vaut pas inscription pédagogique.</w:t>
      </w:r>
    </w:p>
    <w:p w:rsidR="0097472D" w:rsidRDefault="0097472D" w:rsidP="0097472D">
      <w:pPr>
        <w:spacing w:after="0"/>
        <w:jc w:val="both"/>
      </w:pPr>
      <w:r>
        <w:t>Pour l’instant, travail de fond, c'est-à-dire de lecture attentive, crayon en main. Vous n’êtes pas obligés de tout lire, mais</w:t>
      </w:r>
      <w:r w:rsidR="000E2223">
        <w:t>, de ce que vous lisez, résumez</w:t>
      </w:r>
      <w:r>
        <w:t xml:space="preserve"> chapitre après chapitre </w:t>
      </w:r>
      <w:r w:rsidR="00D810A3">
        <w:t>pour constituer un</w:t>
      </w:r>
      <w:r>
        <w:t xml:space="preserve"> journal d’analyse</w:t>
      </w:r>
      <w:r w:rsidR="000E2223">
        <w:t xml:space="preserve"> (thèse, manière de la démontrer, enjeux et problèmes).</w:t>
      </w:r>
    </w:p>
    <w:p w:rsidR="000E2223" w:rsidRDefault="000E2223" w:rsidP="0097472D">
      <w:pPr>
        <w:spacing w:after="0"/>
        <w:jc w:val="both"/>
      </w:pPr>
      <w:r>
        <w:t>C’est un travail lent et progressif. Les séquences et l’ordre de présentation obéissent à une logique, je vous conseille de suivre cet ordre de manière chronologique.</w:t>
      </w:r>
    </w:p>
    <w:p w:rsidR="000E2223" w:rsidRPr="0097472D" w:rsidRDefault="000E2223" w:rsidP="0097472D">
      <w:pPr>
        <w:spacing w:after="0"/>
        <w:jc w:val="both"/>
      </w:pPr>
      <w:r w:rsidRPr="00D810A3">
        <w:t>Sites de ressources en ligne :</w:t>
      </w:r>
      <w:r>
        <w:t xml:space="preserve"> </w:t>
      </w:r>
      <w:r w:rsidR="00D810A3">
        <w:t>BU Paris 8, site Classiques des sciences sociales (</w:t>
      </w:r>
      <w:hyperlink r:id="rId5" w:history="1">
        <w:r w:rsidR="00D810A3" w:rsidRPr="00AA38A1">
          <w:rPr>
            <w:rStyle w:val="Lienhypertexte"/>
          </w:rPr>
          <w:t>http://classiques.uqac.ca/</w:t>
        </w:r>
      </w:hyperlink>
      <w:r w:rsidR="00D810A3">
        <w:t>), de nombreuses bibliothèques universitaires ont ouvert leur catalogue en ligne.</w:t>
      </w:r>
    </w:p>
    <w:p w:rsidR="0097472D" w:rsidRDefault="0097472D" w:rsidP="0097472D">
      <w:pPr>
        <w:spacing w:after="0"/>
        <w:jc w:val="both"/>
      </w:pPr>
    </w:p>
    <w:p w:rsidR="0097472D" w:rsidRDefault="0097472D" w:rsidP="000E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97472D">
        <w:rPr>
          <w:b/>
          <w:bCs/>
        </w:rPr>
        <w:t>« Sens, sensation, esthétique. De Montaigne à Kant »</w:t>
      </w:r>
    </w:p>
    <w:p w:rsidR="000E2223" w:rsidRPr="0097472D" w:rsidRDefault="000E2223" w:rsidP="000E2223">
      <w:pPr>
        <w:spacing w:after="0"/>
        <w:jc w:val="center"/>
        <w:rPr>
          <w:b/>
          <w:bCs/>
        </w:rPr>
      </w:pPr>
    </w:p>
    <w:p w:rsidR="0097472D" w:rsidRPr="0097472D" w:rsidRDefault="0097472D" w:rsidP="0097472D">
      <w:pPr>
        <w:spacing w:after="0"/>
        <w:jc w:val="both"/>
        <w:rPr>
          <w:b/>
          <w:bCs/>
        </w:rPr>
      </w:pPr>
      <w:r w:rsidRPr="0097472D">
        <w:rPr>
          <w:b/>
          <w:bCs/>
        </w:rPr>
        <w:t>Séquence 1 : expérience de pensée, perception, connaissance</w:t>
      </w:r>
    </w:p>
    <w:p w:rsidR="0097472D" w:rsidRDefault="0097472D" w:rsidP="0097472D">
      <w:pPr>
        <w:spacing w:after="0"/>
        <w:jc w:val="both"/>
      </w:pPr>
      <w:r>
        <w:t xml:space="preserve">CONDILLAC, </w:t>
      </w:r>
      <w:r>
        <w:rPr>
          <w:i/>
          <w:iCs/>
        </w:rPr>
        <w:t>Traité des sensations</w:t>
      </w:r>
      <w:r>
        <w:t>, comprendre l’expérience de la statue.</w:t>
      </w:r>
    </w:p>
    <w:p w:rsidR="00D810A3" w:rsidRDefault="0097472D" w:rsidP="0097472D">
      <w:pPr>
        <w:spacing w:after="0"/>
        <w:jc w:val="both"/>
      </w:pPr>
      <w:r>
        <w:t xml:space="preserve">ROUSSEAU, </w:t>
      </w:r>
      <w:r>
        <w:rPr>
          <w:i/>
          <w:iCs/>
        </w:rPr>
        <w:t>Traité sur l’origine et les fondements de l’inégalité parmi les hommes </w:t>
      </w:r>
      <w:r>
        <w:t>: notamment statue de Glaucus.</w:t>
      </w:r>
    </w:p>
    <w:p w:rsidR="00D810A3" w:rsidRDefault="00D810A3" w:rsidP="0097472D">
      <w:pPr>
        <w:spacing w:after="0"/>
        <w:jc w:val="both"/>
      </w:pPr>
    </w:p>
    <w:p w:rsidR="0097472D" w:rsidRPr="00D810A3" w:rsidRDefault="0097472D" w:rsidP="0097472D">
      <w:pPr>
        <w:spacing w:after="0"/>
        <w:jc w:val="both"/>
      </w:pPr>
      <w:r w:rsidRPr="0097472D">
        <w:rPr>
          <w:b/>
          <w:bCs/>
        </w:rPr>
        <w:t>Séquence 2 : le problème de Molyneux</w:t>
      </w:r>
    </w:p>
    <w:p w:rsidR="0097472D" w:rsidRDefault="0097472D" w:rsidP="0097472D">
      <w:pPr>
        <w:spacing w:after="0"/>
        <w:jc w:val="both"/>
      </w:pPr>
      <w:r>
        <w:t>Se renseigner sur ce problème, voir les articles par exemple de Francine Markovits.</w:t>
      </w:r>
    </w:p>
    <w:p w:rsidR="0097472D" w:rsidRDefault="0097472D" w:rsidP="0097472D">
      <w:pPr>
        <w:spacing w:after="0"/>
        <w:jc w:val="both"/>
      </w:pPr>
      <w:r>
        <w:t xml:space="preserve">J. LOCKE, </w:t>
      </w:r>
      <w:r>
        <w:rPr>
          <w:i/>
          <w:iCs/>
        </w:rPr>
        <w:t>Essai concernant l’entendement humain </w:t>
      </w:r>
      <w:r>
        <w:t>: LIVRE II (au moins jusqu’au chapitre IX)</w:t>
      </w:r>
    </w:p>
    <w:p w:rsidR="0097472D" w:rsidRPr="0097472D" w:rsidRDefault="0097472D" w:rsidP="0097472D">
      <w:pPr>
        <w:spacing w:after="0"/>
        <w:jc w:val="both"/>
      </w:pPr>
      <w:r>
        <w:t xml:space="preserve">D. DIDEROT, </w:t>
      </w:r>
      <w:r>
        <w:rPr>
          <w:i/>
          <w:iCs/>
        </w:rPr>
        <w:t>Lettre sur les aveugles</w:t>
      </w:r>
      <w:r>
        <w:t xml:space="preserve"> (aussi </w:t>
      </w:r>
      <w:r>
        <w:rPr>
          <w:i/>
          <w:iCs/>
        </w:rPr>
        <w:t>Rêve de d’Alembert </w:t>
      </w:r>
      <w:r>
        <w:t xml:space="preserve">; </w:t>
      </w:r>
      <w:r>
        <w:rPr>
          <w:i/>
          <w:iCs/>
        </w:rPr>
        <w:t>Lettre sur les sourds et muets</w:t>
      </w:r>
      <w:r>
        <w:t>)</w:t>
      </w:r>
    </w:p>
    <w:p w:rsidR="0097472D" w:rsidRDefault="0097472D" w:rsidP="0097472D">
      <w:pPr>
        <w:spacing w:after="0"/>
        <w:jc w:val="both"/>
      </w:pPr>
      <w:r>
        <w:t xml:space="preserve">BERKELEY, </w:t>
      </w:r>
      <w:r>
        <w:rPr>
          <w:i/>
          <w:iCs/>
        </w:rPr>
        <w:t>Essai d’une nouvelle théorie de la vision </w:t>
      </w:r>
      <w:r>
        <w:t>: autour du §139</w:t>
      </w:r>
    </w:p>
    <w:p w:rsidR="0097472D" w:rsidRDefault="0097472D" w:rsidP="0097472D">
      <w:pPr>
        <w:spacing w:after="0"/>
        <w:jc w:val="both"/>
      </w:pPr>
      <w:r>
        <w:t xml:space="preserve">BERKELEY, </w:t>
      </w:r>
      <w:r>
        <w:rPr>
          <w:i/>
          <w:iCs/>
        </w:rPr>
        <w:t>Principes de la connaissance humaine</w:t>
      </w:r>
      <w:r>
        <w:t>, LIVRE I.</w:t>
      </w:r>
    </w:p>
    <w:p w:rsidR="00D810A3" w:rsidRDefault="00D810A3" w:rsidP="0097472D">
      <w:pPr>
        <w:spacing w:after="0"/>
        <w:jc w:val="both"/>
        <w:rPr>
          <w:b/>
          <w:bCs/>
        </w:rPr>
      </w:pPr>
    </w:p>
    <w:p w:rsidR="0097472D" w:rsidRPr="0097472D" w:rsidRDefault="0097472D" w:rsidP="0097472D">
      <w:pPr>
        <w:spacing w:after="0"/>
        <w:jc w:val="both"/>
        <w:rPr>
          <w:b/>
          <w:bCs/>
        </w:rPr>
      </w:pPr>
      <w:r w:rsidRPr="0097472D">
        <w:rPr>
          <w:b/>
          <w:bCs/>
        </w:rPr>
        <w:t>Séquence 3 : de la sensation à l’esthétique</w:t>
      </w:r>
    </w:p>
    <w:p w:rsidR="0097472D" w:rsidRDefault="0097472D" w:rsidP="0097472D">
      <w:pPr>
        <w:spacing w:after="0"/>
        <w:jc w:val="both"/>
      </w:pPr>
      <w:r>
        <w:t xml:space="preserve">DESCARTES, </w:t>
      </w:r>
      <w:r>
        <w:rPr>
          <w:i/>
          <w:iCs/>
        </w:rPr>
        <w:t>Méditations</w:t>
      </w:r>
    </w:p>
    <w:p w:rsidR="0097472D" w:rsidRDefault="0097472D" w:rsidP="0097472D">
      <w:pPr>
        <w:spacing w:after="0"/>
        <w:jc w:val="both"/>
      </w:pPr>
      <w:r>
        <w:t xml:space="preserve">KANT, </w:t>
      </w:r>
      <w:r>
        <w:rPr>
          <w:i/>
          <w:iCs/>
        </w:rPr>
        <w:t>Critique de la raison pure </w:t>
      </w:r>
      <w:r>
        <w:t>: au moins la Préface à la 2de édition et L’Esthétique transcendantale</w:t>
      </w:r>
    </w:p>
    <w:p w:rsidR="0097472D" w:rsidRDefault="0097472D" w:rsidP="0097472D">
      <w:pPr>
        <w:spacing w:after="0"/>
        <w:jc w:val="both"/>
        <w:rPr>
          <w:i/>
          <w:iCs/>
        </w:rPr>
      </w:pPr>
      <w:r>
        <w:t xml:space="preserve">DIDEROT, </w:t>
      </w:r>
      <w:r>
        <w:rPr>
          <w:i/>
          <w:iCs/>
        </w:rPr>
        <w:t>Salons</w:t>
      </w:r>
    </w:p>
    <w:p w:rsidR="0097472D" w:rsidRDefault="0097472D" w:rsidP="0097472D">
      <w:pPr>
        <w:spacing w:after="0"/>
        <w:jc w:val="both"/>
        <w:rPr>
          <w:i/>
          <w:iCs/>
        </w:rPr>
      </w:pPr>
      <w:r>
        <w:t xml:space="preserve">KANT, </w:t>
      </w:r>
      <w:r>
        <w:rPr>
          <w:i/>
          <w:iCs/>
        </w:rPr>
        <w:t>Critique de la faculté de juger</w:t>
      </w:r>
    </w:p>
    <w:p w:rsidR="00D810A3" w:rsidRDefault="00D810A3" w:rsidP="0097472D">
      <w:pPr>
        <w:spacing w:after="0"/>
        <w:jc w:val="both"/>
        <w:rPr>
          <w:i/>
          <w:iCs/>
        </w:rPr>
      </w:pPr>
    </w:p>
    <w:p w:rsidR="000E2223" w:rsidRDefault="000E2223" w:rsidP="0097472D">
      <w:pPr>
        <w:spacing w:after="0"/>
        <w:jc w:val="both"/>
        <w:rPr>
          <w:i/>
          <w:iCs/>
        </w:rPr>
      </w:pPr>
    </w:p>
    <w:p w:rsidR="000E2223" w:rsidRPr="000E2223" w:rsidRDefault="000E2223" w:rsidP="000E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E2223">
        <w:rPr>
          <w:b/>
          <w:bCs/>
        </w:rPr>
        <w:t>« La norme et l’exception »</w:t>
      </w:r>
    </w:p>
    <w:p w:rsidR="000E2223" w:rsidRDefault="000E2223" w:rsidP="00D810A3">
      <w:pPr>
        <w:spacing w:after="0"/>
        <w:jc w:val="both"/>
      </w:pPr>
    </w:p>
    <w:p w:rsidR="000E2223" w:rsidRPr="00D810A3" w:rsidRDefault="000E2223" w:rsidP="00D810A3">
      <w:pPr>
        <w:spacing w:after="0"/>
        <w:jc w:val="both"/>
        <w:rPr>
          <w:b/>
          <w:bCs/>
        </w:rPr>
      </w:pPr>
      <w:r w:rsidRPr="00D810A3">
        <w:rPr>
          <w:b/>
          <w:bCs/>
        </w:rPr>
        <w:t>Séquence 1 :</w:t>
      </w:r>
    </w:p>
    <w:p w:rsidR="000E2223" w:rsidRDefault="000E2223" w:rsidP="00D810A3">
      <w:pPr>
        <w:spacing w:after="0"/>
        <w:jc w:val="both"/>
      </w:pPr>
      <w:r>
        <w:t xml:space="preserve">CANGUILHEM, </w:t>
      </w:r>
      <w:r>
        <w:rPr>
          <w:i/>
          <w:iCs/>
        </w:rPr>
        <w:t>Le normal et le pathologique</w:t>
      </w:r>
    </w:p>
    <w:p w:rsidR="000E2223" w:rsidRDefault="000E2223" w:rsidP="00D810A3">
      <w:pPr>
        <w:spacing w:after="0"/>
        <w:jc w:val="both"/>
      </w:pPr>
      <w:r>
        <w:t xml:space="preserve">DURKHEIM, </w:t>
      </w:r>
      <w:r>
        <w:rPr>
          <w:i/>
          <w:iCs/>
        </w:rPr>
        <w:t>Le suicide</w:t>
      </w:r>
    </w:p>
    <w:p w:rsidR="000E2223" w:rsidRDefault="000E2223" w:rsidP="00D810A3">
      <w:pPr>
        <w:spacing w:after="0"/>
        <w:jc w:val="both"/>
      </w:pPr>
      <w:r>
        <w:t xml:space="preserve">ARISTOTE, </w:t>
      </w:r>
      <w:r>
        <w:rPr>
          <w:i/>
          <w:iCs/>
        </w:rPr>
        <w:t>Éthique à Nicomaque</w:t>
      </w:r>
      <w:r>
        <w:t>, LIVRE VI</w:t>
      </w:r>
    </w:p>
    <w:p w:rsidR="000E2223" w:rsidRDefault="000E2223" w:rsidP="00D810A3">
      <w:pPr>
        <w:spacing w:after="0"/>
        <w:jc w:val="both"/>
      </w:pPr>
      <w:r>
        <w:t xml:space="preserve">DESCARTES, </w:t>
      </w:r>
      <w:r>
        <w:rPr>
          <w:i/>
          <w:iCs/>
        </w:rPr>
        <w:t>Méditations métaphysiques </w:t>
      </w:r>
      <w:r>
        <w:t>: VI</w:t>
      </w:r>
      <w:r w:rsidR="00B76A6D">
        <w:t>e</w:t>
      </w:r>
    </w:p>
    <w:p w:rsidR="00D810A3" w:rsidRDefault="00D810A3" w:rsidP="00D810A3">
      <w:pPr>
        <w:spacing w:after="0"/>
        <w:jc w:val="both"/>
      </w:pPr>
    </w:p>
    <w:p w:rsidR="000E2223" w:rsidRPr="00D810A3" w:rsidRDefault="000E2223" w:rsidP="00D810A3">
      <w:pPr>
        <w:spacing w:after="0"/>
        <w:jc w:val="both"/>
        <w:rPr>
          <w:b/>
          <w:bCs/>
        </w:rPr>
      </w:pPr>
      <w:r w:rsidRPr="00D810A3">
        <w:rPr>
          <w:b/>
          <w:bCs/>
        </w:rPr>
        <w:t>Séquence 2 :</w:t>
      </w:r>
    </w:p>
    <w:p w:rsidR="000E2223" w:rsidRPr="000E2223" w:rsidRDefault="000E2223" w:rsidP="00D810A3">
      <w:pPr>
        <w:spacing w:after="0"/>
        <w:jc w:val="both"/>
        <w:rPr>
          <w:i/>
          <w:iCs/>
        </w:rPr>
      </w:pPr>
      <w:r>
        <w:t xml:space="preserve">FOUCAULT, </w:t>
      </w:r>
      <w:r>
        <w:rPr>
          <w:i/>
          <w:iCs/>
        </w:rPr>
        <w:t>Les anormaux </w:t>
      </w:r>
      <w:r>
        <w:t xml:space="preserve">; </w:t>
      </w:r>
      <w:r>
        <w:rPr>
          <w:i/>
          <w:iCs/>
        </w:rPr>
        <w:t>Naissance de la biopolitique</w:t>
      </w:r>
    </w:p>
    <w:p w:rsidR="000E2223" w:rsidRDefault="000E2223" w:rsidP="00D810A3">
      <w:pPr>
        <w:spacing w:after="0"/>
        <w:jc w:val="both"/>
      </w:pPr>
      <w:r>
        <w:t xml:space="preserve">SCHMITT, </w:t>
      </w:r>
      <w:r>
        <w:rPr>
          <w:i/>
          <w:iCs/>
        </w:rPr>
        <w:t>Théologie politique</w:t>
      </w:r>
    </w:p>
    <w:p w:rsidR="000E2223" w:rsidRDefault="000E2223" w:rsidP="00D810A3">
      <w:pPr>
        <w:spacing w:after="0"/>
        <w:jc w:val="both"/>
      </w:pPr>
      <w:r>
        <w:t xml:space="preserve">AGAMBEN, </w:t>
      </w:r>
      <w:r>
        <w:rPr>
          <w:i/>
          <w:iCs/>
        </w:rPr>
        <w:t>Homo sacer I. Le pouvoir souverain et la vie nue</w:t>
      </w:r>
    </w:p>
    <w:p w:rsidR="000E2223" w:rsidRDefault="000E2223" w:rsidP="00D810A3">
      <w:pPr>
        <w:spacing w:after="0"/>
        <w:jc w:val="both"/>
        <w:rPr>
          <w:i/>
          <w:iCs/>
        </w:rPr>
      </w:pPr>
      <w:r>
        <w:lastRenderedPageBreak/>
        <w:t xml:space="preserve">POLLACK, </w:t>
      </w:r>
      <w:r w:rsidR="00D810A3">
        <w:rPr>
          <w:i/>
          <w:iCs/>
        </w:rPr>
        <w:t>Une identité blessée</w:t>
      </w:r>
    </w:p>
    <w:p w:rsidR="00D810A3" w:rsidRDefault="00D810A3" w:rsidP="00D810A3">
      <w:pPr>
        <w:spacing w:after="0"/>
        <w:jc w:val="both"/>
      </w:pPr>
    </w:p>
    <w:p w:rsidR="00D810A3" w:rsidRPr="00D810A3" w:rsidRDefault="00D810A3" w:rsidP="00D810A3">
      <w:pPr>
        <w:spacing w:after="0"/>
        <w:jc w:val="both"/>
        <w:rPr>
          <w:b/>
          <w:bCs/>
        </w:rPr>
      </w:pPr>
      <w:r w:rsidRPr="00D810A3">
        <w:rPr>
          <w:b/>
          <w:bCs/>
        </w:rPr>
        <w:t>Séquence 3 : pour aller plus loin</w:t>
      </w:r>
    </w:p>
    <w:p w:rsidR="00D810A3" w:rsidRDefault="00D810A3" w:rsidP="00D810A3">
      <w:pPr>
        <w:spacing w:after="0"/>
        <w:jc w:val="both"/>
      </w:pPr>
      <w:r>
        <w:t xml:space="preserve">SPINOZA, </w:t>
      </w:r>
      <w:r>
        <w:rPr>
          <w:i/>
          <w:iCs/>
        </w:rPr>
        <w:t>Éthique</w:t>
      </w:r>
      <w:r>
        <w:t>, livres III, IV et surtout V</w:t>
      </w:r>
    </w:p>
    <w:p w:rsidR="00D810A3" w:rsidRDefault="00D810A3" w:rsidP="00D810A3">
      <w:pPr>
        <w:spacing w:after="0"/>
        <w:jc w:val="both"/>
        <w:rPr>
          <w:i/>
          <w:iCs/>
        </w:rPr>
      </w:pPr>
      <w:r>
        <w:t xml:space="preserve">KANT, </w:t>
      </w:r>
      <w:r>
        <w:rPr>
          <w:i/>
          <w:iCs/>
        </w:rPr>
        <w:t>Critique de la faculté de juger</w:t>
      </w:r>
    </w:p>
    <w:p w:rsidR="00D810A3" w:rsidRPr="00D810A3" w:rsidRDefault="00D810A3" w:rsidP="00D810A3">
      <w:pPr>
        <w:spacing w:after="0"/>
        <w:jc w:val="both"/>
        <w:rPr>
          <w:i/>
          <w:iCs/>
        </w:rPr>
      </w:pPr>
      <w:r>
        <w:t xml:space="preserve">KANT, </w:t>
      </w:r>
      <w:r>
        <w:rPr>
          <w:i/>
          <w:iCs/>
        </w:rPr>
        <w:t>Doctrine du droit</w:t>
      </w:r>
    </w:p>
    <w:p w:rsidR="00D810A3" w:rsidRDefault="00D810A3" w:rsidP="00D810A3">
      <w:pPr>
        <w:spacing w:after="0"/>
        <w:jc w:val="both"/>
      </w:pPr>
      <w:r>
        <w:t xml:space="preserve">KELSEN, </w:t>
      </w:r>
      <w:r>
        <w:rPr>
          <w:i/>
          <w:iCs/>
        </w:rPr>
        <w:t>Théorie pure du droit</w:t>
      </w:r>
    </w:p>
    <w:p w:rsidR="00D810A3" w:rsidRDefault="00D810A3" w:rsidP="00D810A3">
      <w:pPr>
        <w:spacing w:after="0"/>
        <w:jc w:val="both"/>
      </w:pPr>
    </w:p>
    <w:p w:rsidR="00D810A3" w:rsidRDefault="00D810A3" w:rsidP="00D810A3">
      <w:pPr>
        <w:jc w:val="both"/>
      </w:pPr>
      <w:r>
        <w:t xml:space="preserve">N.B. Un bon numéro de </w:t>
      </w:r>
      <w:r>
        <w:rPr>
          <w:i/>
          <w:iCs/>
        </w:rPr>
        <w:t>Multitudes</w:t>
      </w:r>
      <w:r>
        <w:t>, 2008/3, n°34, téléchargeable sur CAIRN.</w:t>
      </w:r>
    </w:p>
    <w:p w:rsidR="00D810A3" w:rsidRDefault="00D810A3" w:rsidP="00D810A3">
      <w:pPr>
        <w:jc w:val="both"/>
      </w:pPr>
      <w:r>
        <w:t>N.B.2 : Réfléchir à la définition des concepts suivants : obligation, nécessité, modèle/imitation, convention, loi.</w:t>
      </w:r>
    </w:p>
    <w:p w:rsidR="00D810A3" w:rsidRPr="00D810A3" w:rsidRDefault="00D810A3" w:rsidP="00D810A3">
      <w:pPr>
        <w:spacing w:after="0"/>
        <w:jc w:val="both"/>
      </w:pPr>
      <w:r>
        <w:t>N.B.3 : Réfléchir aux deux notions suivantes : le monstre ; la règle.</w:t>
      </w:r>
    </w:p>
    <w:sectPr w:rsidR="00D810A3" w:rsidRPr="00D8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2D"/>
    <w:rsid w:val="000E2223"/>
    <w:rsid w:val="00113C1C"/>
    <w:rsid w:val="00824BF9"/>
    <w:rsid w:val="0097472D"/>
    <w:rsid w:val="00B76A6D"/>
    <w:rsid w:val="00BE6FC2"/>
    <w:rsid w:val="00D810A3"/>
    <w:rsid w:val="00DD22B3"/>
    <w:rsid w:val="00E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A81"/>
  <w15:chartTrackingRefBased/>
  <w15:docId w15:val="{80595E6C-B9A1-4329-BDC3-906A424F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10A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8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ques.uqac.ca/" TargetMode="External"/><Relationship Id="rId4" Type="http://schemas.openxmlformats.org/officeDocument/2006/relationships/hyperlink" Target="mailto:ninon.grang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Ninon Grangé</dc:creator>
  <cp:keywords/>
  <dc:description/>
  <cp:lastModifiedBy>--</cp:lastModifiedBy>
  <cp:revision>3</cp:revision>
  <dcterms:created xsi:type="dcterms:W3CDTF">2020-03-28T09:08:00Z</dcterms:created>
  <dcterms:modified xsi:type="dcterms:W3CDTF">2020-03-29T08:33:00Z</dcterms:modified>
</cp:coreProperties>
</file>